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73" w:rsidRPr="00267373" w:rsidRDefault="00267373" w:rsidP="00267373">
      <w:pPr>
        <w:spacing w:after="0" w:line="240" w:lineRule="auto"/>
        <w:jc w:val="both"/>
        <w:rPr>
          <w:rFonts w:ascii="Arial" w:eastAsia="Calibri" w:hAnsi="Arial" w:cs="Times New Roman"/>
          <w:bCs/>
          <w:sz w:val="24"/>
          <w:szCs w:val="20"/>
        </w:rPr>
      </w:pPr>
      <w:r w:rsidRPr="00267373">
        <w:rPr>
          <w:rFonts w:ascii="Arial" w:eastAsia="Calibri" w:hAnsi="Arial" w:cs="Times New Roman"/>
          <w:bCs/>
          <w:noProof/>
          <w:sz w:val="24"/>
          <w:szCs w:val="20"/>
        </w:rPr>
        <mc:AlternateContent>
          <mc:Choice Requires="wpg">
            <w:drawing>
              <wp:anchor distT="0" distB="0" distL="114300" distR="114300" simplePos="0" relativeHeight="251660288" behindDoc="0" locked="0" layoutInCell="1" allowOverlap="1" wp14:anchorId="07AFE55A" wp14:editId="01FE6B71">
                <wp:simplePos x="0" y="0"/>
                <wp:positionH relativeFrom="column">
                  <wp:posOffset>4789170</wp:posOffset>
                </wp:positionH>
                <wp:positionV relativeFrom="paragraph">
                  <wp:posOffset>-822960</wp:posOffset>
                </wp:positionV>
                <wp:extent cx="2250440" cy="100584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440" cy="10058400"/>
                          <a:chOff x="8665" y="465"/>
                          <a:chExt cx="3544" cy="15200"/>
                        </a:xfrm>
                      </wpg:grpSpPr>
                      <wps:wsp>
                        <wps:cNvPr id="6" name="Rectangle 48"/>
                        <wps:cNvSpPr>
                          <a:spLocks/>
                        </wps:cNvSpPr>
                        <wps:spPr bwMode="auto">
                          <a:xfrm>
                            <a:off x="8665" y="465"/>
                            <a:ext cx="3544" cy="15200"/>
                          </a:xfrm>
                          <a:prstGeom prst="rect">
                            <a:avLst/>
                          </a:prstGeom>
                          <a:gradFill rotWithShape="0">
                            <a:gsLst>
                              <a:gs pos="0">
                                <a:srgbClr val="FF3300"/>
                              </a:gs>
                              <a:gs pos="100000">
                                <a:srgbClr val="FF3300">
                                  <a:gamma/>
                                  <a:shade val="60000"/>
                                  <a:invGamma/>
                                </a:srgbClr>
                              </a:gs>
                            </a:gsLst>
                            <a:path path="shape">
                              <a:fillToRect l="50000" t="50000" r="50000" b="50000"/>
                            </a:path>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DE64CF" w:rsidRPr="00D0669F" w:rsidRDefault="00DE64CF" w:rsidP="00267373">
                              <w:pPr>
                                <w:pStyle w:val="Subtitle"/>
                                <w:rPr>
                                  <w:color w:val="FFFFFF"/>
                                </w:rPr>
                              </w:pPr>
                            </w:p>
                          </w:txbxContent>
                        </wps:txbx>
                        <wps:bodyPr rot="0" vert="horz" wrap="square" lIns="182880" tIns="45720" rIns="182880" bIns="45720" anchor="ctr" anchorCtr="0" upright="1">
                          <a:noAutofit/>
                        </wps:bodyPr>
                      </wps:wsp>
                      <wps:wsp>
                        <wps:cNvPr id="7" name="Text Box 8"/>
                        <wps:cNvSpPr txBox="1">
                          <a:spLocks noChangeArrowheads="1"/>
                        </wps:cNvSpPr>
                        <wps:spPr bwMode="auto">
                          <a:xfrm>
                            <a:off x="9226" y="14057"/>
                            <a:ext cx="2791"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4CF" w:rsidRPr="000B5B66" w:rsidRDefault="00DE64CF" w:rsidP="00267373">
                              <w:pPr>
                                <w:jc w:val="center"/>
                                <w:rPr>
                                  <w:b/>
                                  <w:color w:val="FFFFFF"/>
                                  <w:sz w:val="96"/>
                                  <w:szCs w:val="96"/>
                                </w:rPr>
                              </w:pPr>
                              <w:r w:rsidRPr="000B5B66">
                                <w:rPr>
                                  <w:b/>
                                  <w:color w:val="FFFFFF"/>
                                  <w:sz w:val="96"/>
                                  <w:szCs w:val="96"/>
                                </w:rPr>
                                <w:t>201</w:t>
                              </w:r>
                              <w:r>
                                <w:rPr>
                                  <w:b/>
                                  <w:color w:val="FFFFFF"/>
                                  <w:sz w:val="96"/>
                                  <w:szCs w:val="96"/>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77.1pt;margin-top:-64.8pt;width:177.2pt;height:11in;z-index:251660288" coordorigin="8665,465" coordsize="3544,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">
                <v:rect id="Rectangle 48" o:spid="_x0000_s1027" style="position:absolute;left:8665;top:465;width:3544;height:1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MS8QA&#10;AADaAAAADwAAAGRycy9kb3ducmV2LnhtbESPQWvCQBSE74X+h+UVvBTdRERqdA22UhF7qtX7M/tM&#10;otm3cXer6b/vCoUeh5n5hpnlnWnElZyvLStIBwkI4sLqmksFu6/3/gsIH5A1NpZJwQ95yOePDzPM&#10;tL3xJ123oRQRwj5DBVUIbSalLyoy6Ae2JY7e0TqDIUpXSu3wFuGmkcMkGUuDNceFClt6q6g4b7+N&#10;guHleLokm93ryk2e21G6+pD75UGp3lO3mIII1IX/8F97rRWM4X4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TEvEAAAA2gAAAA8AAAAAAAAAAAAAAAAAmAIAAGRycy9k&#10;b3ducmV2LnhtbFBLBQYAAAAABAAEAPUAAACJAwAAAAA=&#10;" fillcolor="#f30" stroked="f" strokeweight="2pt">
                  <v:fill color2="#991f00" focusposition=".5,.5" focussize="" focus="100%" type="gradientRadial"/>
                  <v:path arrowok="t"/>
                  <v:textbox inset="14.4pt,,14.4pt">
                    <w:txbxContent>
                      <w:p w:rsidR="00DE64CF" w:rsidRPr="00D0669F" w:rsidRDefault="00DE64CF" w:rsidP="00267373">
                        <w:pPr>
                          <w:pStyle w:val="Subtitle"/>
                          <w:rPr>
                            <w:color w:val="FFFFFF"/>
                          </w:rPr>
                        </w:pPr>
                      </w:p>
                    </w:txbxContent>
                  </v:textbox>
                </v:rect>
                <v:shapetype id="_x0000_t202" coordsize="21600,21600" o:spt="202" path="m,l,21600r21600,l21600,xe">
                  <v:stroke joinstyle="miter"/>
                  <v:path gradientshapeok="t" o:connecttype="rect"/>
                </v:shapetype>
                <v:shape id="Text Box 8" o:spid="_x0000_s1028" type="#_x0000_t202" style="position:absolute;left:9226;top:14057;width:2791;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E64CF" w:rsidRPr="000B5B66" w:rsidRDefault="00DE64CF" w:rsidP="00267373">
                        <w:pPr>
                          <w:jc w:val="center"/>
                          <w:rPr>
                            <w:b/>
                            <w:color w:val="FFFFFF"/>
                            <w:sz w:val="96"/>
                            <w:szCs w:val="96"/>
                          </w:rPr>
                        </w:pPr>
                        <w:r w:rsidRPr="000B5B66">
                          <w:rPr>
                            <w:b/>
                            <w:color w:val="FFFFFF"/>
                            <w:sz w:val="96"/>
                            <w:szCs w:val="96"/>
                          </w:rPr>
                          <w:t>201</w:t>
                        </w:r>
                        <w:r>
                          <w:rPr>
                            <w:b/>
                            <w:color w:val="FFFFFF"/>
                            <w:sz w:val="96"/>
                            <w:szCs w:val="96"/>
                          </w:rPr>
                          <w:t>7</w:t>
                        </w:r>
                      </w:p>
                    </w:txbxContent>
                  </v:textbox>
                </v:shape>
              </v:group>
            </w:pict>
          </mc:Fallback>
        </mc:AlternateContent>
      </w:r>
      <w:r w:rsidR="00A4181F">
        <w:rPr>
          <w:rFonts w:ascii="Arial" w:eastAsia="Calibri" w:hAnsi="Arial" w:cs="Times New Roman"/>
          <w:bCs/>
          <w:sz w:val="24"/>
          <w:szCs w:val="20"/>
        </w:rPr>
        <w:t>I</w:t>
      </w:r>
      <w:r w:rsidRPr="00267373">
        <w:rPr>
          <w:rFonts w:ascii="Arial" w:eastAsia="Calibri" w:hAnsi="Arial" w:cs="Times New Roman"/>
          <w:bCs/>
          <w:noProof/>
          <w:sz w:val="24"/>
          <w:szCs w:val="20"/>
        </w:rPr>
        <mc:AlternateContent>
          <mc:Choice Requires="wps">
            <w:drawing>
              <wp:anchor distT="0" distB="0" distL="114300" distR="114300" simplePos="0" relativeHeight="251659264" behindDoc="0" locked="0" layoutInCell="1" allowOverlap="1" wp14:anchorId="186C74F1" wp14:editId="13CEFF72">
                <wp:simplePos x="0" y="0"/>
                <wp:positionH relativeFrom="page">
                  <wp:posOffset>-11430</wp:posOffset>
                </wp:positionH>
                <wp:positionV relativeFrom="page">
                  <wp:posOffset>0</wp:posOffset>
                </wp:positionV>
                <wp:extent cx="5528310" cy="10058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10058400"/>
                        </a:xfrm>
                        <a:prstGeom prst="rect">
                          <a:avLst/>
                        </a:prstGeom>
                        <a:gradFill rotWithShape="0">
                          <a:gsLst>
                            <a:gs pos="0">
                              <a:srgbClr val="002060"/>
                            </a:gs>
                            <a:gs pos="100000">
                              <a:srgbClr val="002060">
                                <a:gamma/>
                                <a:shade val="60000"/>
                                <a:invGamma/>
                              </a:srgbClr>
                            </a:gs>
                          </a:gsLst>
                          <a:path path="shape">
                            <a:fillToRect l="50000" t="50000" r="50000" b="50000"/>
                          </a:path>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DE64CF" w:rsidRPr="00D0669F" w:rsidRDefault="00DE64CF" w:rsidP="00267373">
                            <w:pPr>
                              <w:pStyle w:val="Title"/>
                              <w:pBdr>
                                <w:bottom w:val="none" w:sz="0" w:space="0" w:color="auto"/>
                              </w:pBdr>
                              <w:jc w:val="right"/>
                              <w:rPr>
                                <w:b/>
                                <w:caps/>
                                <w:color w:val="FFFFFF"/>
                                <w:sz w:val="72"/>
                                <w:szCs w:val="72"/>
                              </w:rPr>
                            </w:pPr>
                            <w:r w:rsidRPr="00D0669F">
                              <w:rPr>
                                <w:b/>
                                <w:caps/>
                                <w:color w:val="FFFFFF"/>
                                <w:sz w:val="72"/>
                                <w:szCs w:val="72"/>
                              </w:rPr>
                              <w:t>Orlando EMA HIV/AIDS Services Standards of Care</w:t>
                            </w:r>
                          </w:p>
                          <w:p w:rsidR="00DE64CF" w:rsidRPr="00D0669F" w:rsidRDefault="00DE64CF" w:rsidP="00267373">
                            <w:pPr>
                              <w:spacing w:before="240"/>
                              <w:ind w:left="720"/>
                              <w:jc w:val="right"/>
                              <w:rPr>
                                <w:color w:val="FFFFFF"/>
                              </w:rPr>
                            </w:pPr>
                          </w:p>
                          <w:p w:rsidR="00DE64CF" w:rsidRPr="00D0669F" w:rsidRDefault="00DE64CF" w:rsidP="00267373">
                            <w:pPr>
                              <w:spacing w:before="240"/>
                              <w:ind w:left="1008"/>
                              <w:jc w:val="right"/>
                              <w:rPr>
                                <w:color w:val="FFFFFF"/>
                              </w:rPr>
                            </w:pPr>
                            <w:r>
                              <w:rPr>
                                <w:sz w:val="21"/>
                                <w:szCs w:val="21"/>
                              </w:rPr>
                              <w:t xml:space="preserve">     </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9pt;margin-top:0;width:435.3pt;height:1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" fillcolor="#002060" stroked="f" strokeweight="2pt">
                <v:fill color2="#00133a" focusposition=".5,.5" focussize="" focus="100%" type="gradientRadial"/>
                <v:path arrowok="t"/>
                <v:textbox inset="21.6pt,1in,21.6pt">
                  <w:txbxContent>
                    <w:p w:rsidR="00DE64CF" w:rsidRPr="00D0669F" w:rsidRDefault="00DE64CF" w:rsidP="00267373">
                      <w:pPr>
                        <w:pStyle w:val="Title"/>
                        <w:pBdr>
                          <w:bottom w:val="none" w:sz="0" w:space="0" w:color="auto"/>
                        </w:pBdr>
                        <w:jc w:val="right"/>
                        <w:rPr>
                          <w:b/>
                          <w:caps/>
                          <w:color w:val="FFFFFF"/>
                          <w:sz w:val="72"/>
                          <w:szCs w:val="72"/>
                        </w:rPr>
                      </w:pPr>
                      <w:r w:rsidRPr="00D0669F">
                        <w:rPr>
                          <w:b/>
                          <w:caps/>
                          <w:color w:val="FFFFFF"/>
                          <w:sz w:val="72"/>
                          <w:szCs w:val="72"/>
                        </w:rPr>
                        <w:t>Orlando EMA HIV/AIDS Services Standards of Care</w:t>
                      </w:r>
                    </w:p>
                    <w:p w:rsidR="00DE64CF" w:rsidRPr="00D0669F" w:rsidRDefault="00DE64CF" w:rsidP="00267373">
                      <w:pPr>
                        <w:spacing w:before="240"/>
                        <w:ind w:left="720"/>
                        <w:jc w:val="right"/>
                        <w:rPr>
                          <w:color w:val="FFFFFF"/>
                        </w:rPr>
                      </w:pPr>
                    </w:p>
                    <w:p w:rsidR="00DE64CF" w:rsidRPr="00D0669F" w:rsidRDefault="00DE64CF" w:rsidP="00267373">
                      <w:pPr>
                        <w:spacing w:before="240"/>
                        <w:ind w:left="1008"/>
                        <w:jc w:val="right"/>
                        <w:rPr>
                          <w:color w:val="FFFFFF"/>
                        </w:rPr>
                      </w:pPr>
                      <w:r>
                        <w:rPr>
                          <w:sz w:val="21"/>
                          <w:szCs w:val="21"/>
                        </w:rPr>
                        <w:t xml:space="preserve">     </w:t>
                      </w:r>
                    </w:p>
                  </w:txbxContent>
                </v:textbox>
                <w10:wrap anchorx="page" anchory="page"/>
              </v:rect>
            </w:pict>
          </mc:Fallback>
        </mc:AlternateContent>
      </w:r>
      <w:r w:rsidRPr="00267373">
        <w:rPr>
          <w:rFonts w:ascii="Arial" w:eastAsia="Calibri" w:hAnsi="Arial" w:cs="Times New Roman"/>
          <w:bCs/>
          <w:sz w:val="24"/>
          <w:szCs w:val="20"/>
        </w:rPr>
        <w:br w:type="page"/>
      </w:r>
    </w:p>
    <w:p w:rsidR="00267373" w:rsidRPr="00267373" w:rsidRDefault="002032BD" w:rsidP="00267373">
      <w:pPr>
        <w:tabs>
          <w:tab w:val="left" w:pos="9270"/>
        </w:tabs>
        <w:spacing w:after="0" w:line="240" w:lineRule="auto"/>
        <w:jc w:val="both"/>
        <w:rPr>
          <w:rFonts w:ascii="Arial" w:eastAsia="Calibri" w:hAnsi="Arial" w:cs="Times New Roman"/>
          <w:bCs/>
          <w:sz w:val="24"/>
          <w:szCs w:val="20"/>
        </w:rPr>
      </w:pPr>
      <w:r w:rsidRPr="00267373">
        <w:rPr>
          <w:rFonts w:ascii="Arial" w:eastAsia="Calibri" w:hAnsi="Arial" w:cs="Times New Roman"/>
          <w:bCs/>
          <w:noProof/>
          <w:sz w:val="24"/>
          <w:szCs w:val="20"/>
        </w:rPr>
        <w:lastRenderedPageBreak/>
        <w:drawing>
          <wp:anchor distT="0" distB="0" distL="114300" distR="114300" simplePos="0" relativeHeight="251662336" behindDoc="0" locked="0" layoutInCell="1" allowOverlap="1" wp14:anchorId="66DF5C96" wp14:editId="21EFDCF5">
            <wp:simplePos x="0" y="0"/>
            <wp:positionH relativeFrom="column">
              <wp:posOffset>4712335</wp:posOffset>
            </wp:positionH>
            <wp:positionV relativeFrom="paragraph">
              <wp:posOffset>139065</wp:posOffset>
            </wp:positionV>
            <wp:extent cx="1056640" cy="11595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373" w:rsidRPr="00267373">
        <w:rPr>
          <w:rFonts w:ascii="Arial" w:eastAsia="Calibri" w:hAnsi="Arial" w:cs="Times New Roman"/>
          <w:bCs/>
          <w:noProof/>
          <w:sz w:val="24"/>
          <w:szCs w:val="20"/>
        </w:rPr>
        <w:drawing>
          <wp:anchor distT="0" distB="0" distL="114300" distR="114300" simplePos="0" relativeHeight="251661312" behindDoc="0" locked="0" layoutInCell="1" allowOverlap="1" wp14:anchorId="28842495" wp14:editId="707C2D36">
            <wp:simplePos x="0" y="0"/>
            <wp:positionH relativeFrom="column">
              <wp:posOffset>174625</wp:posOffset>
            </wp:positionH>
            <wp:positionV relativeFrom="paragraph">
              <wp:posOffset>-41910</wp:posOffset>
            </wp:positionV>
            <wp:extent cx="1092200" cy="1458595"/>
            <wp:effectExtent l="0" t="0" r="0" b="8255"/>
            <wp:wrapNone/>
            <wp:docPr id="2" name="Picture 2" descr="Ryan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yanWhit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200" cy="145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032BD" w:rsidP="00267373">
      <w:pPr>
        <w:tabs>
          <w:tab w:val="left" w:pos="9270"/>
        </w:tabs>
        <w:spacing w:after="0" w:line="240" w:lineRule="auto"/>
        <w:jc w:val="both"/>
        <w:rPr>
          <w:rFonts w:ascii="Arial" w:eastAsia="Calibri" w:hAnsi="Arial" w:cs="Times New Roman"/>
          <w:bCs/>
          <w:sz w:val="24"/>
          <w:szCs w:val="20"/>
        </w:rPr>
      </w:pPr>
      <w:r w:rsidRPr="00267373">
        <w:rPr>
          <w:rFonts w:ascii="Arial" w:eastAsia="Calibri" w:hAnsi="Arial" w:cs="Times New Roman"/>
          <w:bCs/>
          <w:noProof/>
          <w:sz w:val="24"/>
          <w:szCs w:val="20"/>
        </w:rPr>
        <mc:AlternateContent>
          <mc:Choice Requires="wps">
            <w:drawing>
              <wp:anchor distT="0" distB="0" distL="114300" distR="114300" simplePos="0" relativeHeight="251664384" behindDoc="0" locked="0" layoutInCell="1" allowOverlap="1" wp14:anchorId="3E231FFC" wp14:editId="648EE674">
                <wp:simplePos x="0" y="0"/>
                <wp:positionH relativeFrom="column">
                  <wp:posOffset>3855085</wp:posOffset>
                </wp:positionH>
                <wp:positionV relativeFrom="paragraph">
                  <wp:posOffset>25400</wp:posOffset>
                </wp:positionV>
                <wp:extent cx="3234055" cy="668020"/>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4CF" w:rsidRPr="00A35E42" w:rsidRDefault="00DE64CF" w:rsidP="00267373">
                            <w:pPr>
                              <w:rPr>
                                <w:rFonts w:cs="Arial"/>
                                <w:sz w:val="28"/>
                                <w:szCs w:val="32"/>
                              </w:rPr>
                            </w:pPr>
                            <w:r>
                              <w:rPr>
                                <w:rFonts w:cs="Arial"/>
                                <w:szCs w:val="24"/>
                              </w:rPr>
                              <w:t xml:space="preserve">                       </w:t>
                            </w:r>
                            <w:r w:rsidRPr="00A35E42">
                              <w:rPr>
                                <w:rFonts w:cs="Arial"/>
                                <w:sz w:val="28"/>
                                <w:szCs w:val="32"/>
                              </w:rPr>
                              <w:t xml:space="preserve">Orlando EMA </w:t>
                            </w:r>
                          </w:p>
                          <w:p w:rsidR="00DE64CF" w:rsidRPr="00A35E42" w:rsidRDefault="00DE64CF" w:rsidP="00267373">
                            <w:pPr>
                              <w:rPr>
                                <w:rFonts w:cs="Arial"/>
                                <w:sz w:val="28"/>
                                <w:szCs w:val="32"/>
                              </w:rPr>
                            </w:pPr>
                            <w:r w:rsidRPr="00A35E42">
                              <w:rPr>
                                <w:rFonts w:cs="Arial"/>
                                <w:sz w:val="28"/>
                                <w:szCs w:val="32"/>
                              </w:rPr>
                              <w:t xml:space="preserve">          Ryan White Part A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03.55pt;margin-top:2pt;width:254.65pt;height:5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lfiAIAABg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" stroked="f">
                <v:textbox>
                  <w:txbxContent>
                    <w:p w:rsidR="00DE64CF" w:rsidRPr="00A35E42" w:rsidRDefault="00DE64CF" w:rsidP="00267373">
                      <w:pPr>
                        <w:rPr>
                          <w:rFonts w:cs="Arial"/>
                          <w:sz w:val="28"/>
                          <w:szCs w:val="32"/>
                        </w:rPr>
                      </w:pPr>
                      <w:r>
                        <w:rPr>
                          <w:rFonts w:cs="Arial"/>
                          <w:szCs w:val="24"/>
                        </w:rPr>
                        <w:t xml:space="preserve">                       </w:t>
                      </w:r>
                      <w:r w:rsidRPr="00A35E42">
                        <w:rPr>
                          <w:rFonts w:cs="Arial"/>
                          <w:sz w:val="28"/>
                          <w:szCs w:val="32"/>
                        </w:rPr>
                        <w:t xml:space="preserve">Orlando EMA </w:t>
                      </w:r>
                    </w:p>
                    <w:p w:rsidR="00DE64CF" w:rsidRPr="00A35E42" w:rsidRDefault="00DE64CF" w:rsidP="00267373">
                      <w:pPr>
                        <w:rPr>
                          <w:rFonts w:cs="Arial"/>
                          <w:sz w:val="28"/>
                          <w:szCs w:val="32"/>
                        </w:rPr>
                      </w:pPr>
                      <w:r w:rsidRPr="00A35E42">
                        <w:rPr>
                          <w:rFonts w:cs="Arial"/>
                          <w:sz w:val="28"/>
                          <w:szCs w:val="32"/>
                        </w:rPr>
                        <w:t xml:space="preserve">          Ryan White Part </w:t>
                      </w:r>
                      <w:proofErr w:type="gramStart"/>
                      <w:r w:rsidRPr="00A35E42">
                        <w:rPr>
                          <w:rFonts w:cs="Arial"/>
                          <w:sz w:val="28"/>
                          <w:szCs w:val="32"/>
                        </w:rPr>
                        <w:t>A</w:t>
                      </w:r>
                      <w:proofErr w:type="gramEnd"/>
                      <w:r w:rsidRPr="00A35E42">
                        <w:rPr>
                          <w:rFonts w:cs="Arial"/>
                          <w:sz w:val="28"/>
                          <w:szCs w:val="32"/>
                        </w:rPr>
                        <w:t xml:space="preserve"> Office</w:t>
                      </w:r>
                    </w:p>
                  </w:txbxContent>
                </v:textbox>
              </v:shape>
            </w:pict>
          </mc:Fallback>
        </mc:AlternateContent>
      </w:r>
      <w:r w:rsidRPr="00267373">
        <w:rPr>
          <w:rFonts w:ascii="Arial" w:eastAsia="Calibri" w:hAnsi="Arial" w:cs="Times New Roman"/>
          <w:bCs/>
          <w:noProof/>
          <w:sz w:val="24"/>
          <w:szCs w:val="20"/>
        </w:rPr>
        <mc:AlternateContent>
          <mc:Choice Requires="wps">
            <w:drawing>
              <wp:anchor distT="0" distB="0" distL="114300" distR="114300" simplePos="0" relativeHeight="251663360" behindDoc="0" locked="0" layoutInCell="1" allowOverlap="1" wp14:anchorId="6D5FC13B" wp14:editId="0D84E3C8">
                <wp:simplePos x="0" y="0"/>
                <wp:positionH relativeFrom="column">
                  <wp:posOffset>-769620</wp:posOffset>
                </wp:positionH>
                <wp:positionV relativeFrom="paragraph">
                  <wp:posOffset>75565</wp:posOffset>
                </wp:positionV>
                <wp:extent cx="3327400" cy="668020"/>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4CF" w:rsidRPr="00A35E42" w:rsidRDefault="00DE64CF" w:rsidP="00267373">
                            <w:pPr>
                              <w:jc w:val="center"/>
                              <w:rPr>
                                <w:rFonts w:cs="Arial"/>
                                <w:sz w:val="28"/>
                                <w:szCs w:val="32"/>
                              </w:rPr>
                            </w:pPr>
                            <w:r w:rsidRPr="00A35E42">
                              <w:rPr>
                                <w:rFonts w:cs="Arial"/>
                                <w:sz w:val="28"/>
                                <w:szCs w:val="32"/>
                              </w:rPr>
                              <w:t>Orlando EMA HIV/AIDS</w:t>
                            </w:r>
                          </w:p>
                          <w:p w:rsidR="00DE64CF" w:rsidRPr="00A35E42" w:rsidRDefault="00DE64CF" w:rsidP="00267373">
                            <w:pPr>
                              <w:jc w:val="center"/>
                              <w:rPr>
                                <w:rFonts w:cs="Arial"/>
                                <w:sz w:val="28"/>
                                <w:szCs w:val="32"/>
                              </w:rPr>
                            </w:pPr>
                            <w:r w:rsidRPr="00A35E42">
                              <w:rPr>
                                <w:rFonts w:cs="Arial"/>
                                <w:sz w:val="28"/>
                                <w:szCs w:val="32"/>
                              </w:rPr>
                              <w:t>Health Services Planning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60.6pt;margin-top:5.95pt;width:262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fZ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" stroked="f">
                <v:textbox>
                  <w:txbxContent>
                    <w:p w:rsidR="00DE64CF" w:rsidRPr="00A35E42" w:rsidRDefault="00DE64CF" w:rsidP="00267373">
                      <w:pPr>
                        <w:jc w:val="center"/>
                        <w:rPr>
                          <w:rFonts w:cs="Arial"/>
                          <w:sz w:val="28"/>
                          <w:szCs w:val="32"/>
                        </w:rPr>
                      </w:pPr>
                      <w:r w:rsidRPr="00A35E42">
                        <w:rPr>
                          <w:rFonts w:cs="Arial"/>
                          <w:sz w:val="28"/>
                          <w:szCs w:val="32"/>
                        </w:rPr>
                        <w:t>Orlando EMA HIV/AIDS</w:t>
                      </w:r>
                    </w:p>
                    <w:p w:rsidR="00DE64CF" w:rsidRPr="00A35E42" w:rsidRDefault="00DE64CF" w:rsidP="00267373">
                      <w:pPr>
                        <w:jc w:val="center"/>
                        <w:rPr>
                          <w:rFonts w:cs="Arial"/>
                          <w:sz w:val="28"/>
                          <w:szCs w:val="32"/>
                        </w:rPr>
                      </w:pPr>
                      <w:r w:rsidRPr="00A35E42">
                        <w:rPr>
                          <w:rFonts w:cs="Arial"/>
                          <w:sz w:val="28"/>
                          <w:szCs w:val="32"/>
                        </w:rPr>
                        <w:t>Health Services Planning Council</w:t>
                      </w:r>
                    </w:p>
                  </w:txbxContent>
                </v:textbox>
              </v:shape>
            </w:pict>
          </mc:Fallback>
        </mc:AlternateContent>
      </w: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032BD" w:rsidP="00267373">
      <w:pPr>
        <w:tabs>
          <w:tab w:val="left" w:pos="9270"/>
        </w:tabs>
        <w:spacing w:after="0" w:line="240" w:lineRule="auto"/>
        <w:jc w:val="both"/>
        <w:rPr>
          <w:rFonts w:ascii="Arial" w:eastAsia="Calibri" w:hAnsi="Arial" w:cs="Times New Roman"/>
          <w:bCs/>
          <w:sz w:val="24"/>
          <w:szCs w:val="20"/>
        </w:rPr>
      </w:pPr>
      <w:r w:rsidRPr="00267373">
        <w:rPr>
          <w:rFonts w:ascii="Arial" w:eastAsia="Calibri" w:hAnsi="Arial" w:cs="Times New Roman"/>
          <w:bCs/>
          <w:noProof/>
          <w:sz w:val="24"/>
          <w:szCs w:val="20"/>
        </w:rPr>
        <mc:AlternateContent>
          <mc:Choice Requires="wps">
            <w:drawing>
              <wp:anchor distT="91440" distB="137160" distL="114300" distR="114300" simplePos="0" relativeHeight="251666432" behindDoc="0" locked="0" layoutInCell="0" allowOverlap="1" wp14:anchorId="7E416232" wp14:editId="2D61257B">
                <wp:simplePos x="0" y="0"/>
                <wp:positionH relativeFrom="page">
                  <wp:posOffset>597027</wp:posOffset>
                </wp:positionH>
                <wp:positionV relativeFrom="page">
                  <wp:posOffset>3870579</wp:posOffset>
                </wp:positionV>
                <wp:extent cx="6734810" cy="1493520"/>
                <wp:effectExtent l="209550" t="209550" r="46990" b="495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34810" cy="1493520"/>
                        </a:xfrm>
                        <a:prstGeom prst="rect">
                          <a:avLst/>
                        </a:prstGeom>
                        <a:gradFill rotWithShape="1">
                          <a:gsLst>
                            <a:gs pos="0">
                              <a:srgbClr val="002060"/>
                            </a:gs>
                            <a:gs pos="100000">
                              <a:srgbClr val="002060">
                                <a:gamma/>
                                <a:shade val="60000"/>
                                <a:invGamma/>
                              </a:srgbClr>
                            </a:gs>
                          </a:gsLst>
                          <a:path path="shape">
                            <a:fillToRect l="50000" t="50000" r="50000" b="50000"/>
                          </a:path>
                        </a:gradFill>
                        <a:ln w="9525" algn="ctr">
                          <a:miter lim="800000"/>
                          <a:headEnd/>
                          <a:tailEnd/>
                        </a:ln>
                        <a:effectLst/>
                        <a:scene3d>
                          <a:camera prst="legacyObliqueTopLeft"/>
                          <a:lightRig rig="legacyFlat3" dir="t"/>
                        </a:scene3d>
                        <a:sp3d extrusionH="430200" prstMaterial="legacyMatte">
                          <a:bevelT w="13500" h="13500" prst="angle"/>
                          <a:bevelB w="13500" h="13500" prst="angle"/>
                          <a:extrusionClr>
                            <a:srgbClr val="0070C0"/>
                          </a:extrusionClr>
                        </a:sp3d>
                        <a:extLst>
                          <a:ext uri="{AF507438-7753-43E0-B8FC-AC1667EBCBE1}">
                            <a14:hiddenEffects xmlns:a14="http://schemas.microsoft.com/office/drawing/2010/main">
                              <a:effectLst>
                                <a:outerShdw dist="1113790" dir="11340000" rotWithShape="0">
                                  <a:srgbClr val="F79646"/>
                                </a:outerShdw>
                              </a:effectLst>
                            </a14:hiddenEffects>
                          </a:ext>
                        </a:extLst>
                      </wps:spPr>
                      <wps:txbx>
                        <w:txbxContent>
                          <w:p w:rsidR="00DE64CF" w:rsidRDefault="00DE64CF" w:rsidP="00267373">
                            <w:pPr>
                              <w:jc w:val="center"/>
                              <w:rPr>
                                <w:i/>
                                <w:iCs/>
                                <w:sz w:val="72"/>
                                <w:szCs w:val="72"/>
                              </w:rPr>
                            </w:pPr>
                            <w:r w:rsidRPr="001A5DFB">
                              <w:rPr>
                                <w:i/>
                                <w:iCs/>
                                <w:sz w:val="72"/>
                                <w:szCs w:val="72"/>
                              </w:rPr>
                              <w:t xml:space="preserve">Standards of Care for </w:t>
                            </w:r>
                          </w:p>
                          <w:p w:rsidR="00DE64CF" w:rsidRPr="001A5DFB" w:rsidRDefault="00DE64CF" w:rsidP="00267373">
                            <w:pPr>
                              <w:jc w:val="center"/>
                              <w:rPr>
                                <w:i/>
                                <w:iCs/>
                                <w:color w:val="FFFFFF"/>
                                <w:sz w:val="72"/>
                                <w:szCs w:val="72"/>
                              </w:rPr>
                            </w:pPr>
                            <w:r w:rsidRPr="001A5DFB">
                              <w:rPr>
                                <w:i/>
                                <w:iCs/>
                                <w:sz w:val="72"/>
                                <w:szCs w:val="72"/>
                              </w:rPr>
                              <w:t>HIV/AIDS Services</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47pt;margin-top:304.75pt;width:530.3pt;height:117.6pt;flip:x;z-index:251666432;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" o:allowincell="f" fillcolor="#002060">
                <v:fill color2="#00133a" rotate="t" focusposition=".5,.5" focussize="" focus="100%" type="gradientRadial"/>
                <v:shadow color="#f79646" origin=",.5" offset="-30.55769mm,-4.83986mm"/>
                <o:extrusion v:ext="view" color="#0070c0" on="t" viewpoint="-34.72222mm" viewpointorigin="-.5" skewangle="-45" lightposition="-50000" lightposition2="50000"/>
                <v:textbox inset="36pt,7.2pt,10.8pt,0">
                  <w:txbxContent>
                    <w:p w:rsidR="00DE64CF" w:rsidRDefault="00DE64CF" w:rsidP="00267373">
                      <w:pPr>
                        <w:jc w:val="center"/>
                        <w:rPr>
                          <w:i/>
                          <w:iCs/>
                          <w:sz w:val="72"/>
                          <w:szCs w:val="72"/>
                        </w:rPr>
                      </w:pPr>
                      <w:r w:rsidRPr="001A5DFB">
                        <w:rPr>
                          <w:i/>
                          <w:iCs/>
                          <w:sz w:val="72"/>
                          <w:szCs w:val="72"/>
                        </w:rPr>
                        <w:t xml:space="preserve">Standards of Care for </w:t>
                      </w:r>
                    </w:p>
                    <w:p w:rsidR="00DE64CF" w:rsidRPr="001A5DFB" w:rsidRDefault="00DE64CF" w:rsidP="00267373">
                      <w:pPr>
                        <w:jc w:val="center"/>
                        <w:rPr>
                          <w:i/>
                          <w:iCs/>
                          <w:color w:val="FFFFFF"/>
                          <w:sz w:val="72"/>
                          <w:szCs w:val="72"/>
                        </w:rPr>
                      </w:pPr>
                      <w:r w:rsidRPr="001A5DFB">
                        <w:rPr>
                          <w:i/>
                          <w:iCs/>
                          <w:sz w:val="72"/>
                          <w:szCs w:val="72"/>
                        </w:rPr>
                        <w:t>HIV/AIDS Services</w:t>
                      </w:r>
                    </w:p>
                  </w:txbxContent>
                </v:textbox>
                <w10:wrap anchorx="page" anchory="page"/>
              </v:rect>
            </w:pict>
          </mc:Fallback>
        </mc:AlternateContent>
      </w: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67373" w:rsidP="00267373">
      <w:pPr>
        <w:tabs>
          <w:tab w:val="left" w:pos="9270"/>
        </w:tabs>
        <w:spacing w:after="0" w:line="240" w:lineRule="auto"/>
        <w:jc w:val="both"/>
        <w:rPr>
          <w:rFonts w:ascii="Arial" w:eastAsia="Calibri" w:hAnsi="Arial" w:cs="Times New Roman"/>
          <w:bCs/>
          <w:sz w:val="24"/>
          <w:szCs w:val="20"/>
        </w:rPr>
      </w:pPr>
    </w:p>
    <w:p w:rsidR="00267373" w:rsidRPr="00267373" w:rsidRDefault="002032BD" w:rsidP="00267373">
      <w:pPr>
        <w:tabs>
          <w:tab w:val="left" w:pos="9270"/>
        </w:tabs>
        <w:spacing w:after="0" w:line="240" w:lineRule="auto"/>
        <w:jc w:val="both"/>
        <w:rPr>
          <w:rFonts w:ascii="Arial" w:eastAsia="Calibri" w:hAnsi="Arial" w:cs="Times New Roman"/>
          <w:bCs/>
          <w:sz w:val="24"/>
          <w:szCs w:val="20"/>
        </w:rPr>
      </w:pPr>
      <w:r w:rsidRPr="00267373">
        <w:rPr>
          <w:rFonts w:ascii="Arial" w:eastAsia="Calibri" w:hAnsi="Arial" w:cs="Times New Roman"/>
          <w:bCs/>
          <w:noProof/>
          <w:sz w:val="24"/>
          <w:szCs w:val="20"/>
        </w:rPr>
        <mc:AlternateContent>
          <mc:Choice Requires="wps">
            <w:drawing>
              <wp:anchor distT="0" distB="0" distL="114300" distR="114300" simplePos="0" relativeHeight="251665408" behindDoc="0" locked="0" layoutInCell="1" allowOverlap="1" wp14:anchorId="55F17F69" wp14:editId="2CB1CDE4">
                <wp:simplePos x="0" y="0"/>
                <wp:positionH relativeFrom="column">
                  <wp:posOffset>773430</wp:posOffset>
                </wp:positionH>
                <wp:positionV relativeFrom="paragraph">
                  <wp:posOffset>90170</wp:posOffset>
                </wp:positionV>
                <wp:extent cx="5476875" cy="296227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96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4CF" w:rsidRPr="005E5891"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5E5891">
                              <w:rPr>
                                <w:rFonts w:ascii="Arial" w:eastAsia="Times New Roman" w:hAnsi="Arial" w:cs="Arial"/>
                                <w:sz w:val="24"/>
                                <w:szCs w:val="24"/>
                                <w:lang w:val="x-none" w:eastAsia="x-none"/>
                              </w:rPr>
                              <w:t>Outpatient Ambulatory Health Services (OAHS)</w:t>
                            </w:r>
                          </w:p>
                          <w:p w:rsidR="00DE64CF" w:rsidRPr="005E5891"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5E5891">
                              <w:rPr>
                                <w:rFonts w:ascii="Arial" w:eastAsia="Times New Roman" w:hAnsi="Arial" w:cs="Arial"/>
                                <w:sz w:val="24"/>
                                <w:szCs w:val="24"/>
                                <w:lang w:val="x-none" w:eastAsia="x-none"/>
                              </w:rPr>
                              <w:t>Local Pharmaceutical Assistance Program (LPAP)</w:t>
                            </w:r>
                          </w:p>
                          <w:p w:rsidR="00DE64CF" w:rsidRPr="008B5CD7"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szCs w:val="24"/>
                                <w:lang w:val="x-none" w:eastAsia="x-none"/>
                              </w:rPr>
                              <w:t xml:space="preserve">Oral Health Care </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lang w:val="x-none" w:eastAsia="x-none"/>
                              </w:rPr>
                              <w:t>Early Intervention Services</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szCs w:val="24"/>
                                <w:lang w:val="x-none" w:eastAsia="x-none"/>
                              </w:rPr>
                              <w:t>Health Insurance Premi</w:t>
                            </w:r>
                            <w:r>
                              <w:rPr>
                                <w:rFonts w:ascii="Arial" w:eastAsia="Times New Roman" w:hAnsi="Arial" w:cs="Arial"/>
                                <w:sz w:val="24"/>
                                <w:szCs w:val="24"/>
                                <w:lang w:val="x-none" w:eastAsia="x-none"/>
                              </w:rPr>
                              <w:t>um and Cost-sharing assistance</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szCs w:val="24"/>
                                <w:lang w:val="x-none" w:eastAsia="x-none"/>
                              </w:rPr>
                              <w:t>Mental Health Services</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szCs w:val="24"/>
                                <w:lang w:val="x-none" w:eastAsia="x-none"/>
                              </w:rPr>
                              <w:t xml:space="preserve">Medical Nutrition </w:t>
                            </w:r>
                            <w:r>
                              <w:rPr>
                                <w:rFonts w:ascii="Arial" w:eastAsia="Times New Roman" w:hAnsi="Arial" w:cs="Arial"/>
                                <w:sz w:val="24"/>
                                <w:szCs w:val="24"/>
                                <w:lang w:val="x-none" w:eastAsia="x-none"/>
                              </w:rPr>
                              <w:t>Therapy</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szCs w:val="24"/>
                                <w:lang w:val="x-none" w:eastAsia="x-none"/>
                              </w:rPr>
                              <w:t>Medical Case Management</w:t>
                            </w:r>
                          </w:p>
                          <w:p w:rsidR="00DE64CF" w:rsidRPr="008B5CD7"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szCs w:val="24"/>
                                <w:lang w:val="x-none" w:eastAsia="x-none"/>
                              </w:rPr>
                              <w:t xml:space="preserve">Substance Abuse </w:t>
                            </w:r>
                            <w:r>
                              <w:rPr>
                                <w:rFonts w:ascii="Arial" w:eastAsia="Times New Roman" w:hAnsi="Arial" w:cs="Arial"/>
                                <w:sz w:val="24"/>
                                <w:szCs w:val="24"/>
                                <w:lang w:eastAsia="x-none"/>
                              </w:rPr>
                              <w:t>(</w:t>
                            </w:r>
                            <w:r w:rsidRPr="0069155E">
                              <w:rPr>
                                <w:rFonts w:ascii="Arial" w:eastAsia="Times New Roman" w:hAnsi="Arial" w:cs="Arial"/>
                                <w:sz w:val="24"/>
                                <w:szCs w:val="24"/>
                                <w:lang w:val="x-none" w:eastAsia="x-none"/>
                              </w:rPr>
                              <w:t>Out</w:t>
                            </w:r>
                            <w:r>
                              <w:rPr>
                                <w:rFonts w:ascii="Arial" w:eastAsia="Times New Roman" w:hAnsi="Arial" w:cs="Arial"/>
                                <w:sz w:val="24"/>
                                <w:szCs w:val="24"/>
                                <w:lang w:val="x-none" w:eastAsia="x-none"/>
                              </w:rPr>
                              <w:t>patient</w:t>
                            </w:r>
                            <w:r>
                              <w:rPr>
                                <w:rFonts w:ascii="Arial" w:eastAsia="Times New Roman" w:hAnsi="Arial" w:cs="Arial"/>
                                <w:sz w:val="24"/>
                                <w:szCs w:val="24"/>
                                <w:lang w:eastAsia="x-none"/>
                              </w:rPr>
                              <w:t>)</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szCs w:val="24"/>
                                <w:lang w:val="x-none" w:eastAsia="x-none"/>
                              </w:rPr>
                              <w:t>Non-Medical Case Management</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lang w:val="x-none" w:eastAsia="x-none"/>
                              </w:rPr>
                              <w:t>Emergen</w:t>
                            </w:r>
                            <w:r>
                              <w:rPr>
                                <w:rFonts w:ascii="Arial" w:eastAsia="Times New Roman" w:hAnsi="Arial" w:cs="Arial"/>
                                <w:sz w:val="24"/>
                                <w:lang w:val="x-none" w:eastAsia="x-none"/>
                              </w:rPr>
                              <w:t>cy Financial Assistance</w:t>
                            </w:r>
                          </w:p>
                          <w:p w:rsidR="00DE64CF" w:rsidRPr="00193C23"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szCs w:val="24"/>
                                <w:lang w:val="x-none" w:eastAsia="x-none"/>
                              </w:rPr>
                              <w:t>Food Bank/Home Delivered Meals.</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szCs w:val="24"/>
                                <w:lang w:val="x-none" w:eastAsia="x-none"/>
                              </w:rPr>
                              <w:t>Medical Transportation</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szCs w:val="24"/>
                                <w:lang w:val="x-none" w:eastAsia="x-none"/>
                              </w:rPr>
                              <w:t xml:space="preserve">Substance Abuse </w:t>
                            </w:r>
                            <w:r>
                              <w:rPr>
                                <w:rFonts w:ascii="Arial" w:eastAsia="Times New Roman" w:hAnsi="Arial" w:cs="Arial"/>
                                <w:sz w:val="24"/>
                                <w:szCs w:val="24"/>
                                <w:lang w:val="x-none" w:eastAsia="x-none"/>
                              </w:rPr>
                              <w:t>Residential Services</w:t>
                            </w:r>
                          </w:p>
                          <w:p w:rsidR="00DE64CF"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pPr>
                            <w:r w:rsidRPr="00826465">
                              <w:rPr>
                                <w:rFonts w:ascii="Arial" w:eastAsia="Times New Roman" w:hAnsi="Arial" w:cs="Arial"/>
                                <w:sz w:val="24"/>
                                <w:szCs w:val="24"/>
                                <w:lang w:val="x-none" w:eastAsia="x-none"/>
                              </w:rPr>
                              <w:t>Psychosocial Support Services (Peer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60.9pt;margin-top:7.1pt;width:431.25pt;height:2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" stroked="f">
                <v:textbox>
                  <w:txbxContent>
                    <w:p w:rsidR="00DE64CF" w:rsidRPr="005E5891"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5E5891">
                        <w:rPr>
                          <w:rFonts w:ascii="Arial" w:eastAsia="Times New Roman" w:hAnsi="Arial" w:cs="Arial"/>
                          <w:sz w:val="24"/>
                          <w:szCs w:val="24"/>
                          <w:lang w:val="x-none" w:eastAsia="x-none"/>
                        </w:rPr>
                        <w:t>Outpatient Ambulatory Health Services (OAHS)</w:t>
                      </w:r>
                    </w:p>
                    <w:p w:rsidR="00DE64CF" w:rsidRPr="005E5891"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5E5891">
                        <w:rPr>
                          <w:rFonts w:ascii="Arial" w:eastAsia="Times New Roman" w:hAnsi="Arial" w:cs="Arial"/>
                          <w:sz w:val="24"/>
                          <w:szCs w:val="24"/>
                          <w:lang w:val="x-none" w:eastAsia="x-none"/>
                        </w:rPr>
                        <w:t>Local Pharmaceutical Assistance Program (LPAP)</w:t>
                      </w:r>
                    </w:p>
                    <w:p w:rsidR="00DE64CF" w:rsidRPr="008B5CD7"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szCs w:val="24"/>
                          <w:lang w:val="x-none" w:eastAsia="x-none"/>
                        </w:rPr>
                        <w:t xml:space="preserve">Oral Health Care </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lang w:val="x-none" w:eastAsia="x-none"/>
                        </w:rPr>
                        <w:t>Early Intervention Services</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szCs w:val="24"/>
                          <w:lang w:val="x-none" w:eastAsia="x-none"/>
                        </w:rPr>
                        <w:t>Health Insurance Premi</w:t>
                      </w:r>
                      <w:r>
                        <w:rPr>
                          <w:rFonts w:ascii="Arial" w:eastAsia="Times New Roman" w:hAnsi="Arial" w:cs="Arial"/>
                          <w:sz w:val="24"/>
                          <w:szCs w:val="24"/>
                          <w:lang w:val="x-none" w:eastAsia="x-none"/>
                        </w:rPr>
                        <w:t>um and Cost-sharing assistance</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szCs w:val="24"/>
                          <w:lang w:val="x-none" w:eastAsia="x-none"/>
                        </w:rPr>
                        <w:t>Mental Health Services</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szCs w:val="24"/>
                          <w:lang w:val="x-none" w:eastAsia="x-none"/>
                        </w:rPr>
                        <w:t xml:space="preserve">Medical Nutrition </w:t>
                      </w:r>
                      <w:r>
                        <w:rPr>
                          <w:rFonts w:ascii="Arial" w:eastAsia="Times New Roman" w:hAnsi="Arial" w:cs="Arial"/>
                          <w:sz w:val="24"/>
                          <w:szCs w:val="24"/>
                          <w:lang w:val="x-none" w:eastAsia="x-none"/>
                        </w:rPr>
                        <w:t>Therapy</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szCs w:val="24"/>
                          <w:lang w:val="x-none" w:eastAsia="x-none"/>
                        </w:rPr>
                        <w:t>Medical Case Management</w:t>
                      </w:r>
                    </w:p>
                    <w:p w:rsidR="00DE64CF" w:rsidRPr="008B5CD7"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szCs w:val="24"/>
                          <w:lang w:val="x-none" w:eastAsia="x-none"/>
                        </w:rPr>
                        <w:t xml:space="preserve">Substance Abuse </w:t>
                      </w:r>
                      <w:r>
                        <w:rPr>
                          <w:rFonts w:ascii="Arial" w:eastAsia="Times New Roman" w:hAnsi="Arial" w:cs="Arial"/>
                          <w:sz w:val="24"/>
                          <w:szCs w:val="24"/>
                          <w:lang w:eastAsia="x-none"/>
                        </w:rPr>
                        <w:t>(</w:t>
                      </w:r>
                      <w:r w:rsidRPr="0069155E">
                        <w:rPr>
                          <w:rFonts w:ascii="Arial" w:eastAsia="Times New Roman" w:hAnsi="Arial" w:cs="Arial"/>
                          <w:sz w:val="24"/>
                          <w:szCs w:val="24"/>
                          <w:lang w:val="x-none" w:eastAsia="x-none"/>
                        </w:rPr>
                        <w:t>Out</w:t>
                      </w:r>
                      <w:r>
                        <w:rPr>
                          <w:rFonts w:ascii="Arial" w:eastAsia="Times New Roman" w:hAnsi="Arial" w:cs="Arial"/>
                          <w:sz w:val="24"/>
                          <w:szCs w:val="24"/>
                          <w:lang w:val="x-none" w:eastAsia="x-none"/>
                        </w:rPr>
                        <w:t>patient</w:t>
                      </w:r>
                      <w:r>
                        <w:rPr>
                          <w:rFonts w:ascii="Arial" w:eastAsia="Times New Roman" w:hAnsi="Arial" w:cs="Arial"/>
                          <w:sz w:val="24"/>
                          <w:szCs w:val="24"/>
                          <w:lang w:eastAsia="x-none"/>
                        </w:rPr>
                        <w:t>)</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szCs w:val="24"/>
                          <w:lang w:val="x-none" w:eastAsia="x-none"/>
                        </w:rPr>
                        <w:t>Non-Medical Case Management</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lang w:val="x-none" w:eastAsia="x-none"/>
                        </w:rPr>
                        <w:t>Emergen</w:t>
                      </w:r>
                      <w:r>
                        <w:rPr>
                          <w:rFonts w:ascii="Arial" w:eastAsia="Times New Roman" w:hAnsi="Arial" w:cs="Arial"/>
                          <w:sz w:val="24"/>
                          <w:lang w:val="x-none" w:eastAsia="x-none"/>
                        </w:rPr>
                        <w:t>cy Financial Assistance</w:t>
                      </w:r>
                    </w:p>
                    <w:p w:rsidR="00DE64CF" w:rsidRPr="00193C23"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szCs w:val="24"/>
                          <w:lang w:val="x-none" w:eastAsia="x-none"/>
                        </w:rPr>
                        <w:t>Food Bank/Home Delivered Meals.</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Pr>
                          <w:rFonts w:ascii="Arial" w:eastAsia="Times New Roman" w:hAnsi="Arial" w:cs="Arial"/>
                          <w:sz w:val="24"/>
                          <w:szCs w:val="24"/>
                          <w:lang w:val="x-none" w:eastAsia="x-none"/>
                        </w:rPr>
                        <w:t>Medical Transportation</w:t>
                      </w:r>
                    </w:p>
                    <w:p w:rsidR="00DE64CF" w:rsidRPr="0069155E"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rPr>
                          <w:rFonts w:ascii="Arial" w:eastAsia="Times New Roman" w:hAnsi="Arial" w:cs="Arial"/>
                          <w:sz w:val="24"/>
                          <w:szCs w:val="24"/>
                          <w:lang w:val="x-none" w:eastAsia="x-none"/>
                        </w:rPr>
                      </w:pPr>
                      <w:r w:rsidRPr="0069155E">
                        <w:rPr>
                          <w:rFonts w:ascii="Arial" w:eastAsia="Times New Roman" w:hAnsi="Arial" w:cs="Arial"/>
                          <w:sz w:val="24"/>
                          <w:szCs w:val="24"/>
                          <w:lang w:val="x-none" w:eastAsia="x-none"/>
                        </w:rPr>
                        <w:t xml:space="preserve">Substance Abuse </w:t>
                      </w:r>
                      <w:r>
                        <w:rPr>
                          <w:rFonts w:ascii="Arial" w:eastAsia="Times New Roman" w:hAnsi="Arial" w:cs="Arial"/>
                          <w:sz w:val="24"/>
                          <w:szCs w:val="24"/>
                          <w:lang w:val="x-none" w:eastAsia="x-none"/>
                        </w:rPr>
                        <w:t>Residential Services</w:t>
                      </w:r>
                    </w:p>
                    <w:p w:rsidR="00DE64CF" w:rsidRDefault="00DE64CF" w:rsidP="001B1B43">
                      <w:pPr>
                        <w:pStyle w:val="ListParagraph"/>
                        <w:widowControl w:val="0"/>
                        <w:numPr>
                          <w:ilvl w:val="0"/>
                          <w:numId w:val="54"/>
                        </w:numPr>
                        <w:kinsoku w:val="0"/>
                        <w:overflowPunct w:val="0"/>
                        <w:autoSpaceDE w:val="0"/>
                        <w:autoSpaceDN w:val="0"/>
                        <w:adjustRightInd w:val="0"/>
                        <w:spacing w:after="0" w:line="240" w:lineRule="auto"/>
                        <w:ind w:right="540"/>
                      </w:pPr>
                      <w:r w:rsidRPr="00826465">
                        <w:rPr>
                          <w:rFonts w:ascii="Arial" w:eastAsia="Times New Roman" w:hAnsi="Arial" w:cs="Arial"/>
                          <w:sz w:val="24"/>
                          <w:szCs w:val="24"/>
                          <w:lang w:val="x-none" w:eastAsia="x-none"/>
                        </w:rPr>
                        <w:t>Psychosocial Support Services (Peer Support)</w:t>
                      </w:r>
                    </w:p>
                  </w:txbxContent>
                </v:textbox>
              </v:shape>
            </w:pict>
          </mc:Fallback>
        </mc:AlternateContent>
      </w:r>
    </w:p>
    <w:p w:rsidR="00826465" w:rsidRDefault="00826465" w:rsidP="00267373">
      <w:pPr>
        <w:tabs>
          <w:tab w:val="left" w:pos="9270"/>
        </w:tabs>
        <w:spacing w:after="0" w:line="240" w:lineRule="auto"/>
        <w:jc w:val="both"/>
        <w:rPr>
          <w:rFonts w:ascii="Arial" w:eastAsia="Calibri" w:hAnsi="Arial" w:cs="Times New Roman"/>
          <w:bCs/>
          <w:sz w:val="24"/>
          <w:szCs w:val="20"/>
        </w:rPr>
        <w:sectPr w:rsidR="00826465" w:rsidSect="00C33AAA">
          <w:footerReference w:type="default" r:id="rId11"/>
          <w:footerReference w:type="first" r:id="rId12"/>
          <w:pgSz w:w="12240" w:h="15840"/>
          <w:pgMar w:top="1296" w:right="1152" w:bottom="1296" w:left="1152" w:header="720" w:footer="720" w:gutter="0"/>
          <w:pgNumType w:start="1"/>
          <w:cols w:space="720"/>
          <w:titlePg/>
          <w:docGrid w:linePitch="360"/>
        </w:sectPr>
      </w:pPr>
    </w:p>
    <w:sdt>
      <w:sdtPr>
        <w:rPr>
          <w:rFonts w:ascii="Arial" w:eastAsia="Calibri" w:hAnsi="Arial" w:cs="Arial"/>
          <w:b w:val="0"/>
          <w:noProof/>
          <w:color w:val="auto"/>
          <w:sz w:val="24"/>
          <w:szCs w:val="24"/>
          <w:lang w:eastAsia="en-US"/>
        </w:rPr>
        <w:id w:val="-1359893667"/>
        <w:docPartObj>
          <w:docPartGallery w:val="Table of Contents"/>
          <w:docPartUnique/>
        </w:docPartObj>
      </w:sdtPr>
      <w:sdtEndPr>
        <w:rPr>
          <w:bCs w:val="0"/>
          <w:sz w:val="22"/>
          <w:szCs w:val="22"/>
        </w:rPr>
      </w:sdtEndPr>
      <w:sdtContent>
        <w:p w:rsidR="0069155E" w:rsidRDefault="0069155E" w:rsidP="00960D4B">
          <w:pPr>
            <w:pStyle w:val="TOCHeading"/>
            <w:spacing w:before="0"/>
          </w:pPr>
          <w:r>
            <w:t>Table of Contents</w:t>
          </w:r>
        </w:p>
        <w:p w:rsidR="005E5891" w:rsidRPr="005E5891" w:rsidRDefault="0069155E">
          <w:pPr>
            <w:pStyle w:val="TOC1"/>
            <w:rPr>
              <w:rFonts w:asciiTheme="majorHAnsi" w:eastAsiaTheme="minorEastAsia" w:hAnsiTheme="majorHAnsi"/>
              <w:noProof/>
              <w:sz w:val="24"/>
              <w:szCs w:val="24"/>
            </w:rPr>
          </w:pPr>
          <w:r w:rsidRPr="00193C23">
            <w:rPr>
              <w:rFonts w:cs="Arial"/>
            </w:rPr>
            <w:fldChar w:fldCharType="begin"/>
          </w:r>
          <w:r w:rsidRPr="00193C23">
            <w:rPr>
              <w:rFonts w:cs="Arial"/>
            </w:rPr>
            <w:instrText xml:space="preserve"> TOC \o "1-3" \h \z \u </w:instrText>
          </w:r>
          <w:r w:rsidRPr="00193C23">
            <w:rPr>
              <w:rFonts w:cs="Arial"/>
            </w:rPr>
            <w:fldChar w:fldCharType="separate"/>
          </w:r>
          <w:hyperlink w:anchor="_Toc489280856" w:history="1">
            <w:r w:rsidR="005E5891" w:rsidRPr="005E5891">
              <w:rPr>
                <w:rStyle w:val="Hyperlink"/>
                <w:rFonts w:asciiTheme="majorHAnsi" w:hAnsiTheme="majorHAnsi"/>
                <w:noProof/>
                <w:sz w:val="24"/>
                <w:szCs w:val="24"/>
              </w:rPr>
              <w:t>Introduction</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_Toc489280856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4</w:t>
            </w:r>
            <w:r w:rsidR="005E5891" w:rsidRPr="005E5891">
              <w:rPr>
                <w:rFonts w:asciiTheme="majorHAnsi" w:hAnsiTheme="majorHAnsi"/>
                <w:noProof/>
                <w:webHidden/>
                <w:sz w:val="24"/>
                <w:szCs w:val="24"/>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857" w:history="1">
            <w:r w:rsidR="005E5891" w:rsidRPr="005E5891">
              <w:rPr>
                <w:rStyle w:val="Hyperlink"/>
                <w:rFonts w:asciiTheme="majorHAnsi" w:hAnsiTheme="majorHAnsi"/>
                <w:noProof/>
                <w:sz w:val="24"/>
                <w:szCs w:val="24"/>
              </w:rPr>
              <w:t>System Wide Service Standards</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_Toc489280857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5</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58" w:history="1">
            <w:r w:rsidR="005E5891" w:rsidRPr="005E5891">
              <w:rPr>
                <w:rStyle w:val="Hyperlink"/>
                <w:rFonts w:asciiTheme="majorHAnsi" w:hAnsiTheme="majorHAnsi"/>
              </w:rPr>
              <w:t>1.0 Agency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_Toc489280858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5</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59" w:history="1">
            <w:r w:rsidR="005E5891" w:rsidRPr="005E5891">
              <w:rPr>
                <w:rStyle w:val="Hyperlink"/>
                <w:rFonts w:asciiTheme="majorHAnsi" w:hAnsiTheme="majorHAnsi"/>
              </w:rPr>
              <w:t>2.0 Consumer Rights and Responsibilities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_Toc489280859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8</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60" w:history="1">
            <w:r w:rsidR="005E5891" w:rsidRPr="005E5891">
              <w:rPr>
                <w:rStyle w:val="Hyperlink"/>
                <w:rFonts w:asciiTheme="majorHAnsi" w:hAnsiTheme="majorHAnsi"/>
              </w:rPr>
              <w:t>3.0 Personnel</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_Toc489280860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10</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61" w:history="1">
            <w:r w:rsidR="005E5891" w:rsidRPr="005E5891">
              <w:rPr>
                <w:rStyle w:val="Hyperlink"/>
                <w:rFonts w:asciiTheme="majorHAnsi" w:hAnsiTheme="majorHAnsi"/>
              </w:rPr>
              <w:t>4.0 Cultural and Linguistic Competence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_Toc489280861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12</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62" w:history="1">
            <w:r w:rsidR="005E5891" w:rsidRPr="005E5891">
              <w:rPr>
                <w:rStyle w:val="Hyperlink"/>
                <w:rFonts w:asciiTheme="majorHAnsi" w:hAnsiTheme="majorHAnsi"/>
              </w:rPr>
              <w:t>5.0 Intake and Eligibility</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_Toc489280862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15</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63" w:history="1">
            <w:r w:rsidR="005E5891" w:rsidRPr="005E5891">
              <w:rPr>
                <w:rStyle w:val="Hyperlink"/>
                <w:rFonts w:asciiTheme="majorHAnsi" w:hAnsiTheme="majorHAnsi"/>
              </w:rPr>
              <w:t>6.0 Assessment and Care Plan</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_Toc489280863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18</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64" w:history="1">
            <w:r w:rsidR="005E5891" w:rsidRPr="005E5891">
              <w:rPr>
                <w:rStyle w:val="Hyperlink"/>
                <w:rFonts w:asciiTheme="majorHAnsi" w:hAnsiTheme="majorHAnsi"/>
              </w:rPr>
              <w:t>7.0 Transition and Discharge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_Toc489280864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20</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65" w:history="1">
            <w:r w:rsidR="005E5891" w:rsidRPr="005E5891">
              <w:rPr>
                <w:rStyle w:val="Hyperlink"/>
                <w:rFonts w:asciiTheme="majorHAnsi" w:hAnsiTheme="majorHAnsi"/>
              </w:rPr>
              <w:t>8.0 Data and Quality Management</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_Toc489280865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22</w:t>
            </w:r>
            <w:r w:rsidR="005E5891" w:rsidRPr="005E5891">
              <w:rPr>
                <w:rFonts w:asciiTheme="majorHAnsi" w:hAnsiTheme="majorHAnsi"/>
                <w:webHidden/>
              </w:rPr>
              <w:fldChar w:fldCharType="end"/>
            </w:r>
          </w:hyperlink>
        </w:p>
        <w:p w:rsidR="005E5891" w:rsidRPr="005E5891" w:rsidRDefault="00E52294">
          <w:pPr>
            <w:pStyle w:val="TOC1"/>
            <w:rPr>
              <w:rFonts w:asciiTheme="majorHAnsi" w:eastAsiaTheme="minorEastAsia" w:hAnsiTheme="majorHAnsi"/>
              <w:noProof/>
              <w:sz w:val="24"/>
              <w:szCs w:val="24"/>
            </w:rPr>
          </w:pPr>
          <w:hyperlink r:id="rId13" w:anchor="_Toc489280866" w:history="1">
            <w:r w:rsidR="005E5891" w:rsidRPr="005E5891">
              <w:rPr>
                <w:rStyle w:val="Hyperlink"/>
                <w:rFonts w:asciiTheme="majorHAnsi" w:hAnsiTheme="majorHAnsi"/>
                <w:noProof/>
                <w:sz w:val="24"/>
                <w:szCs w:val="24"/>
              </w:rPr>
              <w:t>Core Services</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_Toc489280866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24</w:t>
            </w:r>
            <w:r w:rsidR="005E5891" w:rsidRPr="005E5891">
              <w:rPr>
                <w:rFonts w:asciiTheme="majorHAnsi" w:hAnsiTheme="majorHAnsi"/>
                <w:noProof/>
                <w:webHidden/>
                <w:sz w:val="24"/>
                <w:szCs w:val="24"/>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867" w:history="1">
            <w:r w:rsidR="005E5891" w:rsidRPr="005E5891">
              <w:rPr>
                <w:rStyle w:val="Hyperlink"/>
                <w:rFonts w:asciiTheme="majorHAnsi" w:hAnsiTheme="majorHAnsi"/>
                <w:noProof/>
                <w:sz w:val="24"/>
                <w:szCs w:val="24"/>
              </w:rPr>
              <w:t>Outpatient Ambulatory Health Services (OAHS)</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_Toc489280867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25</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68" w:history="1">
            <w:r w:rsidR="005E5891" w:rsidRPr="005E5891">
              <w:rPr>
                <w:rStyle w:val="Hyperlink"/>
                <w:rFonts w:asciiTheme="majorHAnsi" w:hAnsiTheme="majorHAnsi"/>
              </w:rPr>
              <w:t>1.0 Treatment Guideline Standards and Performance Measures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_Toc489280868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26</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69" w:history="1">
            <w:r w:rsidR="005E5891" w:rsidRPr="005E5891">
              <w:rPr>
                <w:rStyle w:val="Hyperlink"/>
                <w:rFonts w:asciiTheme="majorHAnsi" w:hAnsiTheme="majorHAnsi"/>
              </w:rPr>
              <w:t>2.0 Scope of Services (These are program specific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_Toc489280869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32</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870" w:history="1">
            <w:r w:rsidR="005E5891" w:rsidRPr="005E5891">
              <w:rPr>
                <w:rStyle w:val="Hyperlink"/>
                <w:rFonts w:asciiTheme="majorHAnsi" w:hAnsiTheme="majorHAnsi"/>
                <w:noProof/>
                <w:sz w:val="24"/>
                <w:szCs w:val="24"/>
              </w:rPr>
              <w:t>Local Pharmacy Assistance Program</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_Toc489280870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33</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71" w:history="1">
            <w:r w:rsidR="005E5891" w:rsidRPr="005E5891">
              <w:rPr>
                <w:rStyle w:val="Hyperlink"/>
                <w:rFonts w:asciiTheme="majorHAnsi" w:hAnsiTheme="majorHAnsi"/>
              </w:rPr>
              <w:t>1.0 Agency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_Toc489280871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33</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72" w:history="1">
            <w:r w:rsidR="005E5891" w:rsidRPr="005E5891">
              <w:rPr>
                <w:rStyle w:val="Hyperlink"/>
                <w:rFonts w:asciiTheme="majorHAnsi" w:hAnsiTheme="majorHAnsi"/>
              </w:rPr>
              <w:t>2.0 Co-pay/Cost Sharing</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_Toc489280872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35</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73" w:history="1">
            <w:r w:rsidR="005E5891" w:rsidRPr="005E5891">
              <w:rPr>
                <w:rStyle w:val="Hyperlink"/>
                <w:rFonts w:asciiTheme="majorHAnsi" w:hAnsiTheme="majorHAnsi"/>
              </w:rPr>
              <w:t>3.0 Formulary</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_Toc489280873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35</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874" w:history="1">
            <w:r w:rsidR="005E5891" w:rsidRPr="005E5891">
              <w:rPr>
                <w:rStyle w:val="Hyperlink"/>
                <w:rFonts w:asciiTheme="majorHAnsi" w:hAnsiTheme="majorHAnsi"/>
                <w:noProof/>
                <w:sz w:val="24"/>
                <w:szCs w:val="24"/>
              </w:rPr>
              <w:t>Oral Health</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_Toc489280874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36</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75" w:history="1">
            <w:r w:rsidR="005E5891" w:rsidRPr="005E5891">
              <w:rPr>
                <w:rStyle w:val="Hyperlink"/>
                <w:rFonts w:asciiTheme="majorHAnsi" w:hAnsiTheme="majorHAnsi"/>
              </w:rPr>
              <w:t>1.0 Agency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_Toc489280875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36</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76" w:history="1">
            <w:r w:rsidR="005E5891" w:rsidRPr="005E5891">
              <w:rPr>
                <w:rStyle w:val="Hyperlink"/>
                <w:rFonts w:asciiTheme="majorHAnsi" w:hAnsiTheme="majorHAnsi"/>
              </w:rPr>
              <w:t>2.0 Responsibility of Case Management Agencies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_Toc489280876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37</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877" w:history="1">
            <w:r w:rsidR="005E5891" w:rsidRPr="005E5891">
              <w:rPr>
                <w:rStyle w:val="Hyperlink"/>
                <w:rFonts w:asciiTheme="majorHAnsi" w:hAnsiTheme="majorHAnsi"/>
                <w:noProof/>
                <w:sz w:val="24"/>
                <w:szCs w:val="24"/>
              </w:rPr>
              <w:t>Early Intervention Services</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_Toc489280877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39</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78" w:history="1">
            <w:r w:rsidR="005E5891" w:rsidRPr="005E5891">
              <w:rPr>
                <w:rStyle w:val="Hyperlink"/>
                <w:rFonts w:asciiTheme="majorHAnsi" w:hAnsiTheme="majorHAnsi"/>
              </w:rPr>
              <w:t>1.0 Agency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_Toc489280878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39</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79" w:history="1">
            <w:r w:rsidR="005E5891" w:rsidRPr="005E5891">
              <w:rPr>
                <w:rStyle w:val="Hyperlink"/>
                <w:rFonts w:asciiTheme="majorHAnsi" w:hAnsiTheme="majorHAnsi"/>
              </w:rPr>
              <w:t>2.0 Eligibility Assessment</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_Toc489280879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42</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80" w:history="1">
            <w:r w:rsidR="005E5891" w:rsidRPr="005E5891">
              <w:rPr>
                <w:rStyle w:val="Hyperlink"/>
                <w:rFonts w:asciiTheme="majorHAnsi" w:hAnsiTheme="majorHAnsi"/>
              </w:rPr>
              <w:t>3.0 Consumer Assessment and Care Plan</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_Toc489280880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43</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81" w:history="1">
            <w:r w:rsidR="005E5891" w:rsidRPr="005E5891">
              <w:rPr>
                <w:rStyle w:val="Hyperlink"/>
                <w:rFonts w:asciiTheme="majorHAnsi" w:hAnsiTheme="majorHAnsi"/>
              </w:rPr>
              <w:t>4.0 Documentation</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_Toc489280881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44</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82" w:history="1">
            <w:r w:rsidR="005E5891" w:rsidRPr="005E5891">
              <w:rPr>
                <w:rStyle w:val="Hyperlink"/>
                <w:rFonts w:asciiTheme="majorHAnsi" w:hAnsiTheme="majorHAnsi"/>
              </w:rPr>
              <w:t>5.0 Coordination</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_Toc489280882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45</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83" w:history="1">
            <w:r w:rsidR="005E5891" w:rsidRPr="005E5891">
              <w:rPr>
                <w:rStyle w:val="Hyperlink"/>
                <w:rFonts w:asciiTheme="majorHAnsi" w:hAnsiTheme="majorHAnsi"/>
              </w:rPr>
              <w:t>6.0 Discharge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_Toc489280883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47</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884" w:history="1">
            <w:r w:rsidR="005E5891" w:rsidRPr="005E5891">
              <w:rPr>
                <w:rStyle w:val="Hyperlink"/>
                <w:rFonts w:asciiTheme="majorHAnsi" w:hAnsiTheme="majorHAnsi"/>
                <w:noProof/>
                <w:sz w:val="24"/>
                <w:szCs w:val="24"/>
              </w:rPr>
              <w:t>Health Insurance Premium and Cost Sharing Assistance for Low-Income Individuals</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_Toc489280884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48</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85" w:history="1">
            <w:r w:rsidR="005E5891" w:rsidRPr="005E5891">
              <w:rPr>
                <w:rStyle w:val="Hyperlink"/>
                <w:rFonts w:asciiTheme="majorHAnsi" w:hAnsiTheme="majorHAnsi"/>
              </w:rPr>
              <w:t>1.0 Agency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_Toc489280885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48</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86" w:history="1">
            <w:r w:rsidR="005E5891" w:rsidRPr="005E5891">
              <w:rPr>
                <w:rStyle w:val="Hyperlink"/>
                <w:rFonts w:asciiTheme="majorHAnsi" w:hAnsiTheme="majorHAnsi"/>
              </w:rPr>
              <w:t>2.0 Scope of Work</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_Toc489280886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48</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887" w:history="1">
            <w:r w:rsidR="005E5891" w:rsidRPr="005E5891">
              <w:rPr>
                <w:rStyle w:val="Hyperlink"/>
                <w:rFonts w:asciiTheme="majorHAnsi" w:hAnsiTheme="majorHAnsi"/>
                <w:noProof/>
                <w:sz w:val="24"/>
                <w:szCs w:val="24"/>
              </w:rPr>
              <w:t>Mental Health</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_Toc489280887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50</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88" w:history="1">
            <w:r w:rsidR="005E5891" w:rsidRPr="005E5891">
              <w:rPr>
                <w:rStyle w:val="Hyperlink"/>
                <w:rFonts w:asciiTheme="majorHAnsi" w:hAnsiTheme="majorHAnsi"/>
              </w:rPr>
              <w:t>1.0 Employment Standards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_Toc489280888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50</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89" w:history="1">
            <w:r w:rsidR="005E5891" w:rsidRPr="005E5891">
              <w:rPr>
                <w:rStyle w:val="Hyperlink"/>
                <w:rFonts w:asciiTheme="majorHAnsi" w:hAnsiTheme="majorHAnsi"/>
              </w:rPr>
              <w:t>2.0 Scope of Service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_Toc489280889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50</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90" w:history="1">
            <w:r w:rsidR="005E5891" w:rsidRPr="005E5891">
              <w:rPr>
                <w:rStyle w:val="Hyperlink"/>
                <w:rFonts w:asciiTheme="majorHAnsi" w:hAnsiTheme="majorHAnsi"/>
              </w:rPr>
              <w:t>3.0 Discharge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_Toc489280890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55</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891" w:history="1">
            <w:r w:rsidR="005E5891" w:rsidRPr="005E5891">
              <w:rPr>
                <w:rStyle w:val="Hyperlink"/>
                <w:rFonts w:asciiTheme="majorHAnsi" w:hAnsiTheme="majorHAnsi"/>
                <w:noProof/>
                <w:sz w:val="24"/>
                <w:szCs w:val="24"/>
              </w:rPr>
              <w:t>Medical Nutrition Therapy</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_Toc489280891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57</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92" w:history="1">
            <w:r w:rsidR="005E5891" w:rsidRPr="005E5891">
              <w:rPr>
                <w:rStyle w:val="Hyperlink"/>
                <w:rFonts w:asciiTheme="majorHAnsi" w:hAnsiTheme="majorHAnsi"/>
              </w:rPr>
              <w:t>1.0 Agency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_Toc489280892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57</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93" w:history="1">
            <w:r w:rsidR="005E5891" w:rsidRPr="005E5891">
              <w:rPr>
                <w:rStyle w:val="Hyperlink"/>
                <w:rFonts w:asciiTheme="majorHAnsi" w:hAnsiTheme="majorHAnsi"/>
              </w:rPr>
              <w:t>2.0 Determination of Services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_Toc489280893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57</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94" w:history="1">
            <w:r w:rsidR="005E5891" w:rsidRPr="005E5891">
              <w:rPr>
                <w:rStyle w:val="Hyperlink"/>
                <w:rFonts w:asciiTheme="majorHAnsi" w:hAnsiTheme="majorHAnsi"/>
              </w:rPr>
              <w:t>3.0 Services to be Provided</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_Toc489280894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60</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95" w:history="1">
            <w:r w:rsidR="005E5891" w:rsidRPr="005E5891">
              <w:rPr>
                <w:rStyle w:val="Hyperlink"/>
                <w:rFonts w:asciiTheme="majorHAnsi" w:hAnsiTheme="majorHAnsi"/>
              </w:rPr>
              <w:t>4.0 Nutrition Interventions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_Toc489280895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60</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96" w:history="1">
            <w:r w:rsidR="005E5891" w:rsidRPr="005E5891">
              <w:rPr>
                <w:rStyle w:val="Hyperlink"/>
                <w:rFonts w:asciiTheme="majorHAnsi" w:hAnsiTheme="majorHAnsi"/>
              </w:rPr>
              <w:t>5.0 Case Closure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_Toc489280896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61</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897" w:history="1">
            <w:r w:rsidR="005E5891" w:rsidRPr="005E5891">
              <w:rPr>
                <w:rStyle w:val="Hyperlink"/>
                <w:rFonts w:asciiTheme="majorHAnsi" w:hAnsiTheme="majorHAnsi"/>
                <w:noProof/>
                <w:sz w:val="24"/>
                <w:szCs w:val="24"/>
              </w:rPr>
              <w:t>Medical Case</w:t>
            </w:r>
            <w:r w:rsidR="005E5891" w:rsidRPr="005E5891">
              <w:rPr>
                <w:rStyle w:val="Hyperlink"/>
                <w:rFonts w:asciiTheme="majorHAnsi" w:hAnsiTheme="majorHAnsi"/>
                <w:bCs/>
                <w:noProof/>
                <w:sz w:val="24"/>
                <w:szCs w:val="24"/>
              </w:rPr>
              <w:t xml:space="preserve"> </w:t>
            </w:r>
            <w:r w:rsidR="005E5891" w:rsidRPr="005E5891">
              <w:rPr>
                <w:rStyle w:val="Hyperlink"/>
                <w:rFonts w:asciiTheme="majorHAnsi" w:hAnsiTheme="majorHAnsi"/>
                <w:noProof/>
                <w:sz w:val="24"/>
                <w:szCs w:val="24"/>
              </w:rPr>
              <w:t>Management</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_Toc489280897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62</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98" w:history="1">
            <w:r w:rsidR="005E5891" w:rsidRPr="005E5891">
              <w:rPr>
                <w:rStyle w:val="Hyperlink"/>
                <w:rFonts w:asciiTheme="majorHAnsi" w:hAnsiTheme="majorHAnsi"/>
              </w:rPr>
              <w:t>1.0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_Toc489280898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62</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899" w:history="1">
            <w:r w:rsidR="005E5891" w:rsidRPr="005E5891">
              <w:rPr>
                <w:rStyle w:val="Hyperlink"/>
                <w:rFonts w:asciiTheme="majorHAnsi" w:hAnsiTheme="majorHAnsi"/>
              </w:rPr>
              <w:t>2.0 Eligibility Assessment</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_Toc489280899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66</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00" w:history="1">
            <w:r w:rsidR="005E5891" w:rsidRPr="005E5891">
              <w:rPr>
                <w:rStyle w:val="Hyperlink"/>
                <w:rFonts w:asciiTheme="majorHAnsi" w:hAnsiTheme="majorHAnsi"/>
              </w:rPr>
              <w:t>3.0 Consumer Assessment and Care Plan</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_Toc489280900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67</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01" w:history="1">
            <w:r w:rsidR="005E5891" w:rsidRPr="005E5891">
              <w:rPr>
                <w:rStyle w:val="Hyperlink"/>
                <w:rFonts w:asciiTheme="majorHAnsi" w:hAnsiTheme="majorHAnsi"/>
              </w:rPr>
              <w:t>4.0 Documentation</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_Toc489280901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69</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02" w:history="1">
            <w:r w:rsidR="005E5891" w:rsidRPr="005E5891">
              <w:rPr>
                <w:rStyle w:val="Hyperlink"/>
                <w:rFonts w:asciiTheme="majorHAnsi" w:hAnsiTheme="majorHAnsi"/>
              </w:rPr>
              <w:t>5.0 Coordination of Care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_Toc489280902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71</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03" w:history="1">
            <w:r w:rsidR="005E5891" w:rsidRPr="005E5891">
              <w:rPr>
                <w:rStyle w:val="Hyperlink"/>
                <w:rFonts w:asciiTheme="majorHAnsi" w:hAnsiTheme="majorHAnsi"/>
              </w:rPr>
              <w:t>6.0 Discharge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_Toc489280903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72</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904" w:history="1">
            <w:r w:rsidR="005E5891" w:rsidRPr="005E5891">
              <w:rPr>
                <w:rStyle w:val="Hyperlink"/>
                <w:rFonts w:asciiTheme="majorHAnsi" w:hAnsiTheme="majorHAnsi"/>
                <w:noProof/>
                <w:sz w:val="24"/>
                <w:szCs w:val="24"/>
              </w:rPr>
              <w:t>Substance Abuse Services (Outpatient)</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_Toc489280904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73</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05" w:history="1">
            <w:r w:rsidR="005E5891" w:rsidRPr="005E5891">
              <w:rPr>
                <w:rStyle w:val="Hyperlink"/>
                <w:rFonts w:asciiTheme="majorHAnsi" w:hAnsiTheme="majorHAnsi" w:cs="Times New Roman"/>
              </w:rPr>
              <w:t>1.0 Agency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_Toc489280905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73</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06" w:history="1">
            <w:r w:rsidR="005E5891" w:rsidRPr="005E5891">
              <w:rPr>
                <w:rStyle w:val="Hyperlink"/>
                <w:rFonts w:asciiTheme="majorHAnsi" w:hAnsiTheme="majorHAnsi" w:cs="Times New Roman"/>
              </w:rPr>
              <w:t>2.0 Scope of Service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_Toc489280906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74</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07" w:history="1">
            <w:r w:rsidR="005E5891" w:rsidRPr="005E5891">
              <w:rPr>
                <w:rStyle w:val="Hyperlink"/>
                <w:rFonts w:asciiTheme="majorHAnsi" w:hAnsiTheme="majorHAnsi" w:cs="Times New Roman"/>
              </w:rPr>
              <w:t>3.0 Discharge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_Toc489280907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78</w:t>
            </w:r>
            <w:r w:rsidR="005E5891" w:rsidRPr="005E5891">
              <w:rPr>
                <w:rFonts w:asciiTheme="majorHAnsi" w:hAnsiTheme="majorHAnsi"/>
                <w:webHidden/>
              </w:rPr>
              <w:fldChar w:fldCharType="end"/>
            </w:r>
          </w:hyperlink>
        </w:p>
        <w:p w:rsidR="005E5891" w:rsidRPr="005E5891" w:rsidRDefault="00E52294">
          <w:pPr>
            <w:pStyle w:val="TOC1"/>
            <w:rPr>
              <w:rFonts w:asciiTheme="majorHAnsi" w:eastAsiaTheme="minorEastAsia" w:hAnsiTheme="majorHAnsi"/>
              <w:noProof/>
              <w:sz w:val="24"/>
              <w:szCs w:val="24"/>
            </w:rPr>
          </w:pPr>
          <w:hyperlink r:id="rId14" w:anchor="_Toc489280908" w:history="1">
            <w:r w:rsidR="005E5891" w:rsidRPr="005E5891">
              <w:rPr>
                <w:rStyle w:val="Hyperlink"/>
                <w:rFonts w:asciiTheme="majorHAnsi" w:hAnsiTheme="majorHAnsi"/>
                <w:noProof/>
                <w:sz w:val="24"/>
                <w:szCs w:val="24"/>
              </w:rPr>
              <w:t>Support Services</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_Toc489280908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80</w:t>
            </w:r>
            <w:r w:rsidR="005E5891" w:rsidRPr="005E5891">
              <w:rPr>
                <w:rFonts w:asciiTheme="majorHAnsi" w:hAnsiTheme="majorHAnsi"/>
                <w:noProof/>
                <w:webHidden/>
                <w:sz w:val="24"/>
                <w:szCs w:val="24"/>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909" w:history="1">
            <w:r w:rsidR="005E5891" w:rsidRPr="005E5891">
              <w:rPr>
                <w:rStyle w:val="Hyperlink"/>
                <w:rFonts w:asciiTheme="majorHAnsi" w:hAnsiTheme="majorHAnsi"/>
                <w:noProof/>
                <w:sz w:val="24"/>
                <w:szCs w:val="24"/>
              </w:rPr>
              <w:t>Non-Medical Case Ma</w:t>
            </w:r>
            <w:r w:rsidR="005E5891" w:rsidRPr="005E5891">
              <w:rPr>
                <w:rStyle w:val="Hyperlink"/>
                <w:rFonts w:asciiTheme="majorHAnsi" w:hAnsiTheme="majorHAnsi"/>
                <w:noProof/>
                <w:sz w:val="24"/>
                <w:szCs w:val="24"/>
              </w:rPr>
              <w:t>n</w:t>
            </w:r>
            <w:r w:rsidR="005E5891" w:rsidRPr="005E5891">
              <w:rPr>
                <w:rStyle w:val="Hyperlink"/>
                <w:rFonts w:asciiTheme="majorHAnsi" w:hAnsiTheme="majorHAnsi"/>
                <w:noProof/>
                <w:sz w:val="24"/>
                <w:szCs w:val="24"/>
              </w:rPr>
              <w:t>agement</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_Toc489280909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81</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10" w:history="1">
            <w:r w:rsidR="005E5891" w:rsidRPr="005E5891">
              <w:rPr>
                <w:rStyle w:val="Hyperlink"/>
                <w:rFonts w:asciiTheme="majorHAnsi" w:hAnsiTheme="majorHAnsi"/>
              </w:rPr>
              <w:t>1.0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_Toc489280910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81</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11" w:history="1">
            <w:r w:rsidR="005E5891" w:rsidRPr="005E5891">
              <w:rPr>
                <w:rStyle w:val="Hyperlink"/>
                <w:rFonts w:asciiTheme="majorHAnsi" w:hAnsiTheme="majorHAnsi"/>
              </w:rPr>
              <w:t>2.0 Eligibility Assessment</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_Toc489280911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83</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12" w:history="1">
            <w:r w:rsidR="005E5891" w:rsidRPr="005E5891">
              <w:rPr>
                <w:rStyle w:val="Hyperlink"/>
                <w:rFonts w:asciiTheme="majorHAnsi" w:hAnsiTheme="majorHAnsi"/>
              </w:rPr>
              <w:t>3.0 Consumer Assessment and Care Plan</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_Toc489280912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84</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13" w:history="1">
            <w:r w:rsidR="005E5891" w:rsidRPr="005E5891">
              <w:rPr>
                <w:rStyle w:val="Hyperlink"/>
                <w:rFonts w:asciiTheme="majorHAnsi" w:hAnsiTheme="majorHAnsi"/>
              </w:rPr>
              <w:t>4.0 Documentation</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_Toc489280913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85</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14" w:history="1">
            <w:r w:rsidR="005E5891" w:rsidRPr="005E5891">
              <w:rPr>
                <w:rStyle w:val="Hyperlink"/>
                <w:rFonts w:asciiTheme="majorHAnsi" w:hAnsiTheme="majorHAnsi"/>
              </w:rPr>
              <w:t>5.0 Discharge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_Toc489280914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87</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915" w:history="1">
            <w:r w:rsidR="005E5891" w:rsidRPr="005E5891">
              <w:rPr>
                <w:rStyle w:val="Hyperlink"/>
                <w:rFonts w:asciiTheme="majorHAnsi" w:hAnsiTheme="majorHAnsi"/>
                <w:noProof/>
                <w:sz w:val="24"/>
                <w:szCs w:val="24"/>
              </w:rPr>
              <w:t>Emergency Financial Assistance</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_Toc489280915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89</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16" w:history="1">
            <w:r w:rsidR="005E5891" w:rsidRPr="005E5891">
              <w:rPr>
                <w:rStyle w:val="Hyperlink"/>
                <w:rFonts w:asciiTheme="majorHAnsi" w:hAnsiTheme="majorHAnsi"/>
              </w:rPr>
              <w:t>1.0 Scope of Service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_Toc489280916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89</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917" w:history="1">
            <w:r w:rsidR="005E5891" w:rsidRPr="005E5891">
              <w:rPr>
                <w:rStyle w:val="Hyperlink"/>
                <w:rFonts w:asciiTheme="majorHAnsi" w:hAnsiTheme="majorHAnsi"/>
                <w:noProof/>
                <w:sz w:val="24"/>
                <w:szCs w:val="24"/>
              </w:rPr>
              <w:t>Food Bank/Home Delivered Meals</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_Toc489280917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91</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18" w:history="1">
            <w:r w:rsidR="005E5891" w:rsidRPr="005E5891">
              <w:rPr>
                <w:rStyle w:val="Hyperlink"/>
                <w:rFonts w:asciiTheme="majorHAnsi" w:hAnsiTheme="majorHAnsi"/>
              </w:rPr>
              <w:t>1.0 Agency Policies and Procedures for Food Pantries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_Toc489280918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91</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19" w:history="1">
            <w:r w:rsidR="005E5891" w:rsidRPr="005E5891">
              <w:rPr>
                <w:rStyle w:val="Hyperlink"/>
                <w:rFonts w:asciiTheme="majorHAnsi" w:hAnsiTheme="majorHAnsi"/>
              </w:rPr>
              <w:t>2.0 Food Pantry Scope of Work</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_Toc489280919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92</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20" w:history="1">
            <w:r w:rsidR="005E5891" w:rsidRPr="005E5891">
              <w:rPr>
                <w:rStyle w:val="Hyperlink"/>
                <w:rFonts w:asciiTheme="majorHAnsi" w:hAnsiTheme="majorHAnsi"/>
              </w:rPr>
              <w:t>3.0 Responsibility of Case Management Agencies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_Toc489280920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93</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21" w:history="1">
            <w:r w:rsidR="005E5891" w:rsidRPr="005E5891">
              <w:rPr>
                <w:rStyle w:val="Hyperlink"/>
                <w:rFonts w:asciiTheme="majorHAnsi" w:hAnsiTheme="majorHAnsi"/>
              </w:rPr>
              <w:t>4.0 Continuous Quality Improvement</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_Toc489280921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94</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922" w:history="1">
            <w:r w:rsidR="005E5891" w:rsidRPr="005E5891">
              <w:rPr>
                <w:rStyle w:val="Hyperlink"/>
                <w:rFonts w:asciiTheme="majorHAnsi" w:hAnsiTheme="majorHAnsi"/>
                <w:noProof/>
                <w:sz w:val="24"/>
                <w:szCs w:val="24"/>
              </w:rPr>
              <w:t>Medical Transportation Services</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_Toc489280922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96</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23" w:history="1">
            <w:r w:rsidR="005E5891" w:rsidRPr="005E5891">
              <w:rPr>
                <w:rStyle w:val="Hyperlink"/>
                <w:rFonts w:asciiTheme="majorHAnsi" w:hAnsiTheme="majorHAnsi"/>
              </w:rPr>
              <w:t>1.0 Responsibility of Case Management Agencies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_Toc489280923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96</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24" w:history="1">
            <w:r w:rsidR="005E5891" w:rsidRPr="005E5891">
              <w:rPr>
                <w:rStyle w:val="Hyperlink"/>
                <w:rFonts w:asciiTheme="majorHAnsi" w:hAnsiTheme="majorHAnsi"/>
              </w:rPr>
              <w:t>2.0 Employment Requirements for Transportation Provider</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_Toc489280924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98</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25" w:history="1">
            <w:r w:rsidR="005E5891" w:rsidRPr="005E5891">
              <w:rPr>
                <w:rStyle w:val="Hyperlink"/>
                <w:rFonts w:asciiTheme="majorHAnsi" w:hAnsiTheme="majorHAnsi"/>
              </w:rPr>
              <w:t>3.0 Quality Management</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_Toc489280925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100</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926" w:history="1">
            <w:r w:rsidR="005E5891" w:rsidRPr="005E5891">
              <w:rPr>
                <w:rStyle w:val="Hyperlink"/>
                <w:rFonts w:asciiTheme="majorHAnsi" w:eastAsia="Times New Roman" w:hAnsiTheme="majorHAnsi"/>
                <w:noProof/>
                <w:sz w:val="24"/>
                <w:szCs w:val="24"/>
              </w:rPr>
              <w:t>Substance Abuse - Residential</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_Toc489280926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102</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27" w:history="1">
            <w:r w:rsidR="005E5891" w:rsidRPr="005E5891">
              <w:rPr>
                <w:rStyle w:val="Hyperlink"/>
                <w:rFonts w:asciiTheme="majorHAnsi" w:hAnsiTheme="majorHAnsi"/>
              </w:rPr>
              <w:t>1.0 Agency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_Toc489280927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102</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28" w:history="1">
            <w:r w:rsidR="005E5891" w:rsidRPr="005E5891">
              <w:rPr>
                <w:rStyle w:val="Hyperlink"/>
                <w:rFonts w:asciiTheme="majorHAnsi" w:hAnsiTheme="majorHAnsi"/>
              </w:rPr>
              <w:t>2.0 Scope of Service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_Toc489280928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103</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29" w:history="1">
            <w:r w:rsidR="005E5891" w:rsidRPr="005E5891">
              <w:rPr>
                <w:rStyle w:val="Hyperlink"/>
                <w:rFonts w:asciiTheme="majorHAnsi" w:hAnsiTheme="majorHAnsi"/>
              </w:rPr>
              <w:t>3.0 Discharge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_Toc489280929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107</w:t>
            </w:r>
            <w:r w:rsidR="005E5891" w:rsidRPr="005E5891">
              <w:rPr>
                <w:rFonts w:asciiTheme="majorHAnsi" w:hAnsiTheme="majorHAnsi"/>
                <w:webHidden/>
              </w:rPr>
              <w:fldChar w:fldCharType="end"/>
            </w:r>
          </w:hyperlink>
        </w:p>
        <w:p w:rsidR="005E5891" w:rsidRPr="005E5891" w:rsidRDefault="00E52294">
          <w:pPr>
            <w:pStyle w:val="TOC2"/>
            <w:tabs>
              <w:tab w:val="right" w:leader="dot" w:pos="9926"/>
            </w:tabs>
            <w:rPr>
              <w:rFonts w:asciiTheme="majorHAnsi" w:eastAsiaTheme="minorEastAsia" w:hAnsiTheme="majorHAnsi"/>
              <w:noProof/>
              <w:sz w:val="24"/>
              <w:szCs w:val="24"/>
            </w:rPr>
          </w:pPr>
          <w:hyperlink w:anchor="_Toc489280930" w:history="1">
            <w:r w:rsidR="005E5891" w:rsidRPr="005E5891">
              <w:rPr>
                <w:rStyle w:val="Hyperlink"/>
                <w:rFonts w:asciiTheme="majorHAnsi" w:hAnsiTheme="majorHAnsi"/>
                <w:noProof/>
                <w:sz w:val="24"/>
                <w:szCs w:val="24"/>
              </w:rPr>
              <w:t>Psychosocial Support Services (Peer Support)</w:t>
            </w:r>
            <w:r w:rsidR="005E5891" w:rsidRPr="005E5891">
              <w:rPr>
                <w:rFonts w:asciiTheme="majorHAnsi" w:hAnsiTheme="majorHAnsi"/>
                <w:noProof/>
                <w:webHidden/>
                <w:sz w:val="24"/>
                <w:szCs w:val="24"/>
              </w:rPr>
              <w:tab/>
            </w:r>
            <w:r w:rsidR="005E5891" w:rsidRPr="005E5891">
              <w:rPr>
                <w:rFonts w:asciiTheme="majorHAnsi" w:hAnsiTheme="majorHAnsi"/>
                <w:noProof/>
                <w:webHidden/>
                <w:sz w:val="24"/>
                <w:szCs w:val="24"/>
              </w:rPr>
              <w:fldChar w:fldCharType="begin"/>
            </w:r>
            <w:r w:rsidR="005E5891" w:rsidRPr="005E5891">
              <w:rPr>
                <w:rFonts w:asciiTheme="majorHAnsi" w:hAnsiTheme="majorHAnsi"/>
                <w:noProof/>
                <w:webHidden/>
                <w:sz w:val="24"/>
                <w:szCs w:val="24"/>
              </w:rPr>
              <w:instrText xml:space="preserve"> PAGEREF _Toc489280930 \h </w:instrText>
            </w:r>
            <w:r w:rsidR="005E5891" w:rsidRPr="005E5891">
              <w:rPr>
                <w:rFonts w:asciiTheme="majorHAnsi" w:hAnsiTheme="majorHAnsi"/>
                <w:noProof/>
                <w:webHidden/>
                <w:sz w:val="24"/>
                <w:szCs w:val="24"/>
              </w:rPr>
            </w:r>
            <w:r w:rsidR="005E5891" w:rsidRPr="005E5891">
              <w:rPr>
                <w:rFonts w:asciiTheme="majorHAnsi" w:hAnsiTheme="majorHAnsi"/>
                <w:noProof/>
                <w:webHidden/>
                <w:sz w:val="24"/>
                <w:szCs w:val="24"/>
              </w:rPr>
              <w:fldChar w:fldCharType="separate"/>
            </w:r>
            <w:r w:rsidR="005E5891" w:rsidRPr="005E5891">
              <w:rPr>
                <w:rFonts w:asciiTheme="majorHAnsi" w:hAnsiTheme="majorHAnsi"/>
                <w:noProof/>
                <w:webHidden/>
                <w:sz w:val="24"/>
                <w:szCs w:val="24"/>
              </w:rPr>
              <w:t>109</w:t>
            </w:r>
            <w:r w:rsidR="005E5891" w:rsidRPr="005E5891">
              <w:rPr>
                <w:rFonts w:asciiTheme="majorHAnsi" w:hAnsiTheme="majorHAnsi"/>
                <w:noProof/>
                <w:webHidden/>
                <w:sz w:val="24"/>
                <w:szCs w:val="24"/>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31" w:history="1">
            <w:r w:rsidR="005E5891" w:rsidRPr="005E5891">
              <w:rPr>
                <w:rStyle w:val="Hyperlink"/>
                <w:rFonts w:asciiTheme="majorHAnsi" w:hAnsiTheme="majorHAnsi"/>
              </w:rPr>
              <w:t>1.0 Agency Policies and Procedures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_Toc489280931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109</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32" w:history="1">
            <w:r w:rsidR="005E5891" w:rsidRPr="005E5891">
              <w:rPr>
                <w:rStyle w:val="Hyperlink"/>
                <w:rFonts w:asciiTheme="majorHAnsi" w:hAnsiTheme="majorHAnsi"/>
              </w:rPr>
              <w:t>2.0 Responsibility of Peer Mentor Agencies</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_Toc489280932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111</w:t>
            </w:r>
            <w:r w:rsidR="005E5891" w:rsidRPr="005E5891">
              <w:rPr>
                <w:rFonts w:asciiTheme="majorHAnsi" w:hAnsiTheme="majorHAnsi"/>
                <w:webHidden/>
              </w:rPr>
              <w:fldChar w:fldCharType="end"/>
            </w:r>
          </w:hyperlink>
        </w:p>
        <w:p w:rsidR="005E5891" w:rsidRPr="005E5891" w:rsidRDefault="00E52294">
          <w:pPr>
            <w:pStyle w:val="TOC3"/>
            <w:rPr>
              <w:rFonts w:asciiTheme="majorHAnsi" w:eastAsiaTheme="minorEastAsia" w:hAnsiTheme="majorHAnsi" w:cstheme="minorBidi"/>
              <w:bCs w:val="0"/>
            </w:rPr>
          </w:pPr>
          <w:hyperlink w:anchor="_Toc489280933" w:history="1">
            <w:r w:rsidR="005E5891" w:rsidRPr="005E5891">
              <w:rPr>
                <w:rStyle w:val="Hyperlink"/>
                <w:rFonts w:asciiTheme="majorHAnsi" w:hAnsiTheme="majorHAnsi"/>
              </w:rPr>
              <w:t>3.0 Discharge</w:t>
            </w:r>
            <w:r w:rsidR="005E5891" w:rsidRPr="005E5891">
              <w:rPr>
                <w:rFonts w:asciiTheme="majorHAnsi" w:hAnsiTheme="majorHAnsi"/>
                <w:webHidden/>
              </w:rPr>
              <w:tab/>
            </w:r>
            <w:r w:rsidR="005E5891" w:rsidRPr="005E5891">
              <w:rPr>
                <w:rFonts w:asciiTheme="majorHAnsi" w:hAnsiTheme="majorHAnsi"/>
                <w:webHidden/>
              </w:rPr>
              <w:fldChar w:fldCharType="begin"/>
            </w:r>
            <w:r w:rsidR="005E5891" w:rsidRPr="005E5891">
              <w:rPr>
                <w:rFonts w:asciiTheme="majorHAnsi" w:hAnsiTheme="majorHAnsi"/>
                <w:webHidden/>
              </w:rPr>
              <w:instrText xml:space="preserve"> PAGEREF _Toc489280933 \h </w:instrText>
            </w:r>
            <w:r w:rsidR="005E5891" w:rsidRPr="005E5891">
              <w:rPr>
                <w:rFonts w:asciiTheme="majorHAnsi" w:hAnsiTheme="majorHAnsi"/>
                <w:webHidden/>
              </w:rPr>
            </w:r>
            <w:r w:rsidR="005E5891" w:rsidRPr="005E5891">
              <w:rPr>
                <w:rFonts w:asciiTheme="majorHAnsi" w:hAnsiTheme="majorHAnsi"/>
                <w:webHidden/>
              </w:rPr>
              <w:fldChar w:fldCharType="separate"/>
            </w:r>
            <w:r w:rsidR="005E5891" w:rsidRPr="005E5891">
              <w:rPr>
                <w:rFonts w:asciiTheme="majorHAnsi" w:hAnsiTheme="majorHAnsi"/>
                <w:webHidden/>
              </w:rPr>
              <w:t>113</w:t>
            </w:r>
            <w:r w:rsidR="005E5891" w:rsidRPr="005E5891">
              <w:rPr>
                <w:rFonts w:asciiTheme="majorHAnsi" w:hAnsiTheme="majorHAnsi"/>
                <w:webHidden/>
              </w:rPr>
              <w:fldChar w:fldCharType="end"/>
            </w:r>
          </w:hyperlink>
        </w:p>
        <w:p w:rsidR="00267373" w:rsidRPr="00960D4B" w:rsidRDefault="0069155E" w:rsidP="00960D4B">
          <w:pPr>
            <w:pStyle w:val="TOC3"/>
            <w:rPr>
              <w:rFonts w:eastAsiaTheme="minorHAnsi"/>
              <w:bCs w:val="0"/>
              <w:sz w:val="22"/>
              <w:szCs w:val="22"/>
            </w:rPr>
            <w:sectPr w:rsidR="00267373" w:rsidRPr="00960D4B" w:rsidSect="00DB0CB6">
              <w:footerReference w:type="default" r:id="rId15"/>
              <w:footerReference w:type="first" r:id="rId16"/>
              <w:pgSz w:w="12240" w:h="15840"/>
              <w:pgMar w:top="1296" w:right="1152" w:bottom="1296" w:left="1152" w:header="720" w:footer="720" w:gutter="0"/>
              <w:pgNumType w:start="1"/>
              <w:cols w:space="720"/>
              <w:titlePg/>
              <w:docGrid w:linePitch="360"/>
            </w:sectPr>
          </w:pPr>
          <w:r w:rsidRPr="00193C23">
            <w:rPr>
              <w:rFonts w:asciiTheme="minorHAnsi" w:hAnsiTheme="minorHAnsi"/>
              <w:b/>
              <w:bCs w:val="0"/>
              <w:sz w:val="22"/>
              <w:szCs w:val="22"/>
            </w:rPr>
            <w:fldChar w:fldCharType="end"/>
          </w:r>
        </w:p>
      </w:sdtContent>
    </w:sdt>
    <w:tbl>
      <w:tblPr>
        <w:tblStyle w:val="TableGrid"/>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576"/>
      </w:tblGrid>
      <w:tr w:rsidR="005E5FC3" w:rsidRPr="005E5FC3" w:rsidTr="007C4F82">
        <w:trPr>
          <w:trHeight w:val="420"/>
        </w:trPr>
        <w:tc>
          <w:tcPr>
            <w:tcW w:w="9576" w:type="dxa"/>
            <w:tcBorders>
              <w:bottom w:val="nil"/>
            </w:tcBorders>
            <w:shd w:val="clear" w:color="auto" w:fill="17365D" w:themeFill="text2" w:themeFillShade="BF"/>
            <w:vAlign w:val="center"/>
          </w:tcPr>
          <w:p w:rsidR="00267373" w:rsidRPr="005E5FC3" w:rsidRDefault="00267373" w:rsidP="0069155E">
            <w:pPr>
              <w:pStyle w:val="Heading1"/>
              <w:spacing w:before="0"/>
              <w:jc w:val="center"/>
              <w:outlineLvl w:val="0"/>
            </w:pPr>
            <w:bookmarkStart w:id="0" w:name="_Introduction"/>
            <w:bookmarkStart w:id="1" w:name="TableofContent"/>
            <w:bookmarkStart w:id="2" w:name="_Toc489280856"/>
            <w:bookmarkEnd w:id="0"/>
            <w:r w:rsidRPr="0069155E">
              <w:rPr>
                <w:color w:val="FFFFFF" w:themeColor="background1"/>
                <w:sz w:val="40"/>
              </w:rPr>
              <w:lastRenderedPageBreak/>
              <w:t>Introduction</w:t>
            </w:r>
            <w:bookmarkStart w:id="3" w:name="Introduction"/>
            <w:bookmarkEnd w:id="1"/>
            <w:bookmarkEnd w:id="2"/>
            <w:bookmarkEnd w:id="3"/>
          </w:p>
        </w:tc>
      </w:tr>
    </w:tbl>
    <w:p w:rsidR="007C4F82" w:rsidRDefault="007C4F82" w:rsidP="007C4F82">
      <w:pPr>
        <w:spacing w:after="0" w:line="240" w:lineRule="auto"/>
      </w:pPr>
    </w:p>
    <w:tbl>
      <w:tblPr>
        <w:tblStyle w:val="TableGrid"/>
        <w:tblW w:w="0" w:type="auto"/>
        <w:tblLook w:val="04A0" w:firstRow="1" w:lastRow="0" w:firstColumn="1" w:lastColumn="0" w:noHBand="0" w:noVBand="1"/>
      </w:tblPr>
      <w:tblGrid>
        <w:gridCol w:w="9576"/>
      </w:tblGrid>
      <w:tr w:rsidR="008D6BA9" w:rsidTr="007C4F82">
        <w:trPr>
          <w:trHeight w:val="7406"/>
        </w:trPr>
        <w:tc>
          <w:tcPr>
            <w:tcW w:w="9576" w:type="dxa"/>
            <w:tcBorders>
              <w:top w:val="nil"/>
              <w:left w:val="nil"/>
              <w:bottom w:val="nil"/>
              <w:right w:val="nil"/>
            </w:tcBorders>
          </w:tcPr>
          <w:p w:rsidR="008D6BA9" w:rsidRDefault="008D6BA9" w:rsidP="008D6BA9">
            <w:pPr>
              <w:widowControl w:val="0"/>
              <w:autoSpaceDE w:val="0"/>
              <w:autoSpaceDN w:val="0"/>
              <w:adjustRightInd w:val="0"/>
              <w:spacing w:before="240"/>
              <w:rPr>
                <w:rFonts w:eastAsia="Times New Roman" w:cs="Arial"/>
                <w:spacing w:val="-1"/>
                <w:szCs w:val="24"/>
                <w:lang w:eastAsia="x-none"/>
              </w:rPr>
            </w:pPr>
            <w:r w:rsidRPr="002032BD">
              <w:rPr>
                <w:rFonts w:eastAsia="Times New Roman" w:cs="Arial"/>
                <w:spacing w:val="-1"/>
                <w:szCs w:val="24"/>
                <w:lang w:val="x-none" w:eastAsia="x-none"/>
              </w:rPr>
              <w:t>Th</w:t>
            </w:r>
            <w:r w:rsidRPr="002032BD">
              <w:rPr>
                <w:rFonts w:eastAsia="Times New Roman" w:cs="Arial"/>
                <w:szCs w:val="24"/>
                <w:lang w:val="x-none" w:eastAsia="x-none"/>
              </w:rPr>
              <w:t>e</w:t>
            </w:r>
            <w:r w:rsidRPr="002032BD">
              <w:rPr>
                <w:rFonts w:eastAsia="Times New Roman" w:cs="Arial"/>
                <w:spacing w:val="24"/>
                <w:szCs w:val="24"/>
                <w:lang w:val="x-none" w:eastAsia="x-none"/>
              </w:rPr>
              <w:t xml:space="preserve"> </w:t>
            </w:r>
            <w:r w:rsidRPr="002032BD">
              <w:rPr>
                <w:rFonts w:eastAsia="Times New Roman" w:cs="Arial"/>
                <w:szCs w:val="24"/>
                <w:lang w:val="x-none" w:eastAsia="x-none"/>
              </w:rPr>
              <w:t>standards</w:t>
            </w:r>
            <w:r w:rsidRPr="002032BD">
              <w:rPr>
                <w:rFonts w:eastAsia="Times New Roman" w:cs="Arial"/>
                <w:spacing w:val="26"/>
                <w:szCs w:val="24"/>
                <w:lang w:val="x-none" w:eastAsia="x-none"/>
              </w:rPr>
              <w:t xml:space="preserve"> </w:t>
            </w:r>
            <w:r w:rsidRPr="002032BD">
              <w:rPr>
                <w:rFonts w:eastAsia="Times New Roman" w:cs="Arial"/>
                <w:szCs w:val="24"/>
                <w:lang w:val="x-none" w:eastAsia="x-none"/>
              </w:rPr>
              <w:t>of</w:t>
            </w:r>
            <w:r w:rsidRPr="002032BD">
              <w:rPr>
                <w:rFonts w:eastAsia="Times New Roman" w:cs="Arial"/>
                <w:spacing w:val="25"/>
                <w:szCs w:val="24"/>
                <w:lang w:val="x-none" w:eastAsia="x-none"/>
              </w:rPr>
              <w:t xml:space="preserve"> </w:t>
            </w:r>
            <w:r w:rsidRPr="002032BD">
              <w:rPr>
                <w:rFonts w:eastAsia="Times New Roman" w:cs="Arial"/>
                <w:szCs w:val="24"/>
                <w:lang w:val="x-none" w:eastAsia="x-none"/>
              </w:rPr>
              <w:t>care</w:t>
            </w:r>
            <w:r w:rsidRPr="002032BD">
              <w:rPr>
                <w:rFonts w:eastAsia="Times New Roman" w:cs="Arial"/>
                <w:spacing w:val="25"/>
                <w:szCs w:val="24"/>
                <w:lang w:val="x-none" w:eastAsia="x-none"/>
              </w:rPr>
              <w:t xml:space="preserve"> </w:t>
            </w:r>
            <w:r w:rsidRPr="002032BD">
              <w:rPr>
                <w:rFonts w:eastAsia="Times New Roman" w:cs="Arial"/>
                <w:szCs w:val="24"/>
                <w:lang w:val="x-none" w:eastAsia="x-none"/>
              </w:rPr>
              <w:t>in</w:t>
            </w:r>
            <w:r w:rsidRPr="002032BD">
              <w:rPr>
                <w:rFonts w:eastAsia="Times New Roman" w:cs="Arial"/>
                <w:spacing w:val="26"/>
                <w:szCs w:val="24"/>
                <w:lang w:val="x-none" w:eastAsia="x-none"/>
              </w:rPr>
              <w:t xml:space="preserve"> </w:t>
            </w:r>
            <w:r w:rsidRPr="002032BD">
              <w:rPr>
                <w:rFonts w:eastAsia="Times New Roman" w:cs="Arial"/>
                <w:szCs w:val="24"/>
                <w:lang w:val="x-none" w:eastAsia="x-none"/>
              </w:rPr>
              <w:t>this</w:t>
            </w:r>
            <w:r w:rsidRPr="002032BD">
              <w:rPr>
                <w:rFonts w:eastAsia="Times New Roman" w:cs="Arial"/>
                <w:spacing w:val="26"/>
                <w:szCs w:val="24"/>
                <w:lang w:val="x-none" w:eastAsia="x-none"/>
              </w:rPr>
              <w:t xml:space="preserve"> </w:t>
            </w:r>
            <w:r w:rsidRPr="002032BD">
              <w:rPr>
                <w:rFonts w:eastAsia="Times New Roman" w:cs="Arial"/>
                <w:spacing w:val="-1"/>
                <w:szCs w:val="24"/>
                <w:lang w:val="x-none" w:eastAsia="x-none"/>
              </w:rPr>
              <w:t>doc</w:t>
            </w:r>
            <w:r w:rsidRPr="002032BD">
              <w:rPr>
                <w:rFonts w:eastAsia="Times New Roman" w:cs="Arial"/>
                <w:szCs w:val="24"/>
                <w:lang w:val="x-none" w:eastAsia="x-none"/>
              </w:rPr>
              <w:t>u</w:t>
            </w:r>
            <w:r w:rsidRPr="002032BD">
              <w:rPr>
                <w:rFonts w:eastAsia="Times New Roman" w:cs="Arial"/>
                <w:spacing w:val="-1"/>
                <w:szCs w:val="24"/>
                <w:lang w:val="x-none" w:eastAsia="x-none"/>
              </w:rPr>
              <w:t>me</w:t>
            </w:r>
            <w:r w:rsidRPr="002032BD">
              <w:rPr>
                <w:rFonts w:eastAsia="Times New Roman" w:cs="Arial"/>
                <w:spacing w:val="1"/>
                <w:szCs w:val="24"/>
                <w:lang w:val="x-none" w:eastAsia="x-none"/>
              </w:rPr>
              <w:t>n</w:t>
            </w:r>
            <w:r w:rsidRPr="002032BD">
              <w:rPr>
                <w:rFonts w:eastAsia="Times New Roman" w:cs="Arial"/>
                <w:szCs w:val="24"/>
                <w:lang w:val="x-none" w:eastAsia="x-none"/>
              </w:rPr>
              <w:t>t</w:t>
            </w:r>
            <w:r w:rsidRPr="002032BD">
              <w:rPr>
                <w:rFonts w:eastAsia="Times New Roman" w:cs="Arial"/>
                <w:spacing w:val="25"/>
                <w:szCs w:val="24"/>
                <w:lang w:val="x-none" w:eastAsia="x-none"/>
              </w:rPr>
              <w:t xml:space="preserve"> </w:t>
            </w:r>
            <w:r w:rsidRPr="002032BD">
              <w:rPr>
                <w:rFonts w:eastAsia="Times New Roman" w:cs="Arial"/>
                <w:szCs w:val="24"/>
                <w:lang w:val="x-none" w:eastAsia="x-none"/>
              </w:rPr>
              <w:t>were</w:t>
            </w:r>
            <w:r w:rsidRPr="002032BD">
              <w:rPr>
                <w:rFonts w:eastAsia="Times New Roman" w:cs="Arial"/>
                <w:spacing w:val="27"/>
                <w:szCs w:val="24"/>
                <w:lang w:val="x-none" w:eastAsia="x-none"/>
              </w:rPr>
              <w:t xml:space="preserve"> </w:t>
            </w:r>
            <w:r w:rsidRPr="002032BD">
              <w:rPr>
                <w:rFonts w:eastAsia="Times New Roman" w:cs="Arial"/>
                <w:spacing w:val="-1"/>
                <w:szCs w:val="24"/>
                <w:lang w:val="x-none" w:eastAsia="x-none"/>
              </w:rPr>
              <w:t>deve</w:t>
            </w:r>
            <w:r w:rsidRPr="002032BD">
              <w:rPr>
                <w:rFonts w:eastAsia="Times New Roman" w:cs="Arial"/>
                <w:spacing w:val="1"/>
                <w:szCs w:val="24"/>
                <w:lang w:val="x-none" w:eastAsia="x-none"/>
              </w:rPr>
              <w:t>l</w:t>
            </w:r>
            <w:r w:rsidRPr="002032BD">
              <w:rPr>
                <w:rFonts w:eastAsia="Times New Roman" w:cs="Arial"/>
                <w:szCs w:val="24"/>
                <w:lang w:val="x-none" w:eastAsia="x-none"/>
              </w:rPr>
              <w:t>o</w:t>
            </w:r>
            <w:r w:rsidRPr="002032BD">
              <w:rPr>
                <w:rFonts w:eastAsia="Times New Roman" w:cs="Arial"/>
                <w:spacing w:val="-1"/>
                <w:szCs w:val="24"/>
                <w:lang w:val="x-none" w:eastAsia="x-none"/>
              </w:rPr>
              <w:t>pe</w:t>
            </w:r>
            <w:r w:rsidRPr="002032BD">
              <w:rPr>
                <w:rFonts w:eastAsia="Times New Roman" w:cs="Arial"/>
                <w:szCs w:val="24"/>
                <w:lang w:val="x-none" w:eastAsia="x-none"/>
              </w:rPr>
              <w:t>d</w:t>
            </w:r>
            <w:r w:rsidRPr="002032BD">
              <w:rPr>
                <w:rFonts w:eastAsia="Times New Roman" w:cs="Arial"/>
                <w:spacing w:val="24"/>
                <w:szCs w:val="24"/>
                <w:lang w:val="x-none" w:eastAsia="x-none"/>
              </w:rPr>
              <w:t xml:space="preserve"> </w:t>
            </w:r>
            <w:r w:rsidRPr="002032BD">
              <w:rPr>
                <w:rFonts w:eastAsia="Times New Roman" w:cs="Arial"/>
                <w:spacing w:val="-1"/>
                <w:szCs w:val="24"/>
                <w:lang w:val="x-none" w:eastAsia="x-none"/>
              </w:rPr>
              <w:t>b</w:t>
            </w:r>
            <w:r w:rsidRPr="002032BD">
              <w:rPr>
                <w:rFonts w:eastAsia="Times New Roman" w:cs="Arial"/>
                <w:szCs w:val="24"/>
                <w:lang w:val="x-none" w:eastAsia="x-none"/>
              </w:rPr>
              <w:t>y</w:t>
            </w:r>
            <w:r w:rsidRPr="002032BD">
              <w:rPr>
                <w:rFonts w:eastAsia="Times New Roman" w:cs="Arial"/>
                <w:spacing w:val="27"/>
                <w:szCs w:val="24"/>
                <w:lang w:val="x-none" w:eastAsia="x-none"/>
              </w:rPr>
              <w:t xml:space="preserve"> </w:t>
            </w:r>
            <w:r w:rsidRPr="002032BD">
              <w:rPr>
                <w:rFonts w:eastAsia="Times New Roman" w:cs="Arial"/>
                <w:spacing w:val="-1"/>
                <w:szCs w:val="24"/>
                <w:lang w:val="x-none" w:eastAsia="x-none"/>
              </w:rPr>
              <w:t>th</w:t>
            </w:r>
            <w:r w:rsidRPr="002032BD">
              <w:rPr>
                <w:rFonts w:eastAsia="Times New Roman" w:cs="Arial"/>
                <w:szCs w:val="24"/>
                <w:lang w:val="x-none" w:eastAsia="x-none"/>
              </w:rPr>
              <w:t>e</w:t>
            </w:r>
            <w:r w:rsidRPr="002032BD">
              <w:rPr>
                <w:rFonts w:eastAsia="Times New Roman" w:cs="Arial"/>
                <w:spacing w:val="27"/>
                <w:szCs w:val="24"/>
                <w:lang w:val="x-none" w:eastAsia="x-none"/>
              </w:rPr>
              <w:t xml:space="preserve"> </w:t>
            </w:r>
            <w:r w:rsidRPr="002032BD">
              <w:rPr>
                <w:rFonts w:eastAsia="Times New Roman" w:cs="Arial"/>
                <w:szCs w:val="24"/>
                <w:lang w:val="x-none" w:eastAsia="x-none"/>
              </w:rPr>
              <w:t>Orlando EMA Health Services Planning Council with coordination from the Orlando EMA Part A Recipient ’s Office.</w:t>
            </w:r>
            <w:r w:rsidRPr="002032BD">
              <w:rPr>
                <w:rFonts w:eastAsia="Times New Roman" w:cs="Arial"/>
                <w:spacing w:val="2"/>
                <w:szCs w:val="24"/>
                <w:lang w:val="x-none" w:eastAsia="x-none"/>
              </w:rPr>
              <w:t xml:space="preserve"> </w:t>
            </w:r>
            <w:r w:rsidRPr="002032BD">
              <w:rPr>
                <w:rFonts w:eastAsia="Times New Roman" w:cs="Arial"/>
                <w:spacing w:val="-1"/>
                <w:szCs w:val="24"/>
                <w:lang w:val="x-none" w:eastAsia="x-none"/>
              </w:rPr>
              <w:t>These revised Standards are a consolidation of the existing Standards of Care into a single set that apply to all providers funded for services through the Ryan White Program Part A. The full list of services covered by these standards is provided below.</w:t>
            </w:r>
          </w:p>
          <w:p w:rsidR="008D6BA9" w:rsidRDefault="008D6BA9" w:rsidP="008D6BA9">
            <w:pPr>
              <w:widowControl w:val="0"/>
              <w:autoSpaceDE w:val="0"/>
              <w:autoSpaceDN w:val="0"/>
              <w:adjustRightInd w:val="0"/>
              <w:spacing w:before="240"/>
              <w:rPr>
                <w:rFonts w:eastAsia="Times New Roman" w:cs="Arial"/>
                <w:spacing w:val="-1"/>
                <w:szCs w:val="24"/>
                <w:lang w:eastAsia="x-none"/>
              </w:rPr>
            </w:pPr>
            <w:r w:rsidRPr="002032BD">
              <w:rPr>
                <w:rFonts w:eastAsia="Times New Roman" w:cs="Arial"/>
                <w:spacing w:val="-1"/>
                <w:szCs w:val="24"/>
                <w:lang w:val="x-none" w:eastAsia="x-none"/>
              </w:rPr>
              <w:t>The process to develop and maintain Standards of Care and indicators is to utilize best practice standards where available for the relevant service categories.  Recommendations from a committee of experts will be sought in the development of the Standards of Care. The Planning Council takes the lead in this effort, with extensive Recipient  involvement and final approval. The Recipient  is responsible for ensuring that these Standards of Care are implemented.</w:t>
            </w:r>
          </w:p>
          <w:p w:rsidR="008D6BA9" w:rsidRDefault="008D6BA9" w:rsidP="008D6BA9">
            <w:pPr>
              <w:spacing w:before="240"/>
              <w:rPr>
                <w:rFonts w:cs="Arial"/>
                <w:color w:val="000000"/>
                <w:szCs w:val="24"/>
              </w:rPr>
            </w:pPr>
            <w:r w:rsidRPr="002032BD">
              <w:rPr>
                <w:rFonts w:cs="Arial"/>
                <w:color w:val="000000"/>
                <w:szCs w:val="24"/>
              </w:rPr>
              <w:t>Ryan White funding is available to individuals who are HIV positive, reside in the Orlando EMA (Orange, Osceola, Seminole and Lake counties), and have a combined family income below 400% of the Federal Poverty Level (FPL). A Ryan White family is defined as a group of people related by birth, marriage, adoption, or a legally defined dependent relationship living together. Consumers accessing Ryan White Services shall meet the eligibility guidelines of HIV status, income, residency and identity.</w:t>
            </w:r>
          </w:p>
          <w:p w:rsidR="008D6BA9" w:rsidRDefault="008D6BA9" w:rsidP="008D6BA9">
            <w:pPr>
              <w:widowControl w:val="0"/>
              <w:autoSpaceDE w:val="0"/>
              <w:autoSpaceDN w:val="0"/>
              <w:adjustRightInd w:val="0"/>
              <w:spacing w:before="240"/>
              <w:rPr>
                <w:rFonts w:eastAsia="Times New Roman" w:cs="Arial"/>
                <w:spacing w:val="-1"/>
                <w:szCs w:val="24"/>
                <w:lang w:eastAsia="x-none"/>
              </w:rPr>
            </w:pPr>
            <w:r w:rsidRPr="002032BD">
              <w:rPr>
                <w:rFonts w:eastAsia="Times New Roman" w:cs="Arial"/>
                <w:szCs w:val="24"/>
                <w:lang w:val="x-none" w:eastAsia="x-none"/>
              </w:rPr>
              <w:t>Sec</w:t>
            </w:r>
            <w:r w:rsidRPr="002032BD">
              <w:rPr>
                <w:rFonts w:eastAsia="Times New Roman" w:cs="Arial"/>
                <w:spacing w:val="-1"/>
                <w:szCs w:val="24"/>
                <w:lang w:val="x-none" w:eastAsia="x-none"/>
              </w:rPr>
              <w:t>t</w:t>
            </w:r>
            <w:r w:rsidRPr="002032BD">
              <w:rPr>
                <w:rFonts w:eastAsia="Times New Roman" w:cs="Arial"/>
                <w:szCs w:val="24"/>
                <w:lang w:val="x-none" w:eastAsia="x-none"/>
              </w:rPr>
              <w:t>ion</w:t>
            </w:r>
            <w:r w:rsidRPr="002032BD">
              <w:rPr>
                <w:rFonts w:eastAsia="Times New Roman" w:cs="Arial"/>
                <w:spacing w:val="29"/>
                <w:szCs w:val="24"/>
                <w:lang w:val="x-none" w:eastAsia="x-none"/>
              </w:rPr>
              <w:t xml:space="preserve"> </w:t>
            </w:r>
            <w:r w:rsidRPr="002032BD">
              <w:rPr>
                <w:rFonts w:eastAsia="Times New Roman" w:cs="Arial"/>
                <w:szCs w:val="24"/>
                <w:lang w:val="x-none" w:eastAsia="x-none"/>
              </w:rPr>
              <w:t>I</w:t>
            </w:r>
            <w:r w:rsidRPr="002032BD">
              <w:rPr>
                <w:rFonts w:eastAsia="Times New Roman" w:cs="Arial"/>
                <w:spacing w:val="30"/>
                <w:szCs w:val="24"/>
                <w:lang w:val="x-none" w:eastAsia="x-none"/>
              </w:rPr>
              <w:t xml:space="preserve"> </w:t>
            </w:r>
            <w:r w:rsidRPr="002032BD">
              <w:rPr>
                <w:rFonts w:eastAsia="Times New Roman" w:cs="Arial"/>
                <w:szCs w:val="24"/>
                <w:lang w:val="x-none" w:eastAsia="x-none"/>
              </w:rPr>
              <w:t>of</w:t>
            </w:r>
            <w:r w:rsidRPr="002032BD">
              <w:rPr>
                <w:rFonts w:eastAsia="Times New Roman" w:cs="Arial"/>
                <w:spacing w:val="29"/>
                <w:szCs w:val="24"/>
                <w:lang w:val="x-none" w:eastAsia="x-none"/>
              </w:rPr>
              <w:t xml:space="preserve"> </w:t>
            </w:r>
            <w:r w:rsidRPr="002032BD">
              <w:rPr>
                <w:rFonts w:eastAsia="Times New Roman" w:cs="Arial"/>
                <w:spacing w:val="-1"/>
                <w:szCs w:val="24"/>
                <w:lang w:val="x-none" w:eastAsia="x-none"/>
              </w:rPr>
              <w:t>th</w:t>
            </w:r>
            <w:r w:rsidRPr="002032BD">
              <w:rPr>
                <w:rFonts w:eastAsia="Times New Roman" w:cs="Arial"/>
                <w:szCs w:val="24"/>
                <w:lang w:val="x-none" w:eastAsia="x-none"/>
              </w:rPr>
              <w:t>e</w:t>
            </w:r>
            <w:r w:rsidRPr="002032BD">
              <w:rPr>
                <w:rFonts w:eastAsia="Times New Roman" w:cs="Arial"/>
                <w:spacing w:val="30"/>
                <w:szCs w:val="24"/>
                <w:lang w:val="x-none" w:eastAsia="x-none"/>
              </w:rPr>
              <w:t xml:space="preserve"> </w:t>
            </w:r>
            <w:r w:rsidRPr="002032BD">
              <w:rPr>
                <w:rFonts w:eastAsia="Times New Roman" w:cs="Arial"/>
                <w:szCs w:val="24"/>
                <w:lang w:val="x-none" w:eastAsia="x-none"/>
              </w:rPr>
              <w:t>Standards</w:t>
            </w:r>
            <w:r w:rsidRPr="002032BD">
              <w:rPr>
                <w:rFonts w:eastAsia="Times New Roman" w:cs="Arial"/>
                <w:spacing w:val="29"/>
                <w:szCs w:val="24"/>
                <w:lang w:val="x-none" w:eastAsia="x-none"/>
              </w:rPr>
              <w:t xml:space="preserve"> </w:t>
            </w:r>
            <w:r w:rsidRPr="002032BD">
              <w:rPr>
                <w:rFonts w:eastAsia="Times New Roman" w:cs="Arial"/>
                <w:szCs w:val="24"/>
                <w:lang w:val="x-none" w:eastAsia="x-none"/>
              </w:rPr>
              <w:t>of</w:t>
            </w:r>
            <w:r w:rsidRPr="002032BD">
              <w:rPr>
                <w:rFonts w:eastAsia="Times New Roman" w:cs="Arial"/>
                <w:spacing w:val="29"/>
                <w:szCs w:val="24"/>
                <w:lang w:val="x-none" w:eastAsia="x-none"/>
              </w:rPr>
              <w:t xml:space="preserve"> </w:t>
            </w:r>
            <w:r w:rsidRPr="002032BD">
              <w:rPr>
                <w:rFonts w:eastAsia="Times New Roman" w:cs="Arial"/>
                <w:szCs w:val="24"/>
                <w:lang w:val="x-none" w:eastAsia="x-none"/>
              </w:rPr>
              <w:t>Care</w:t>
            </w:r>
            <w:r w:rsidRPr="002032BD">
              <w:rPr>
                <w:rFonts w:eastAsia="Times New Roman" w:cs="Arial"/>
                <w:spacing w:val="29"/>
                <w:szCs w:val="24"/>
                <w:lang w:val="x-none" w:eastAsia="x-none"/>
              </w:rPr>
              <w:t xml:space="preserve"> </w:t>
            </w:r>
            <w:r w:rsidRPr="002032BD">
              <w:rPr>
                <w:rFonts w:eastAsia="Times New Roman" w:cs="Arial"/>
                <w:szCs w:val="24"/>
                <w:lang w:val="x-none" w:eastAsia="x-none"/>
              </w:rPr>
              <w:t>a</w:t>
            </w:r>
            <w:r w:rsidRPr="002032BD">
              <w:rPr>
                <w:rFonts w:eastAsia="Times New Roman" w:cs="Arial"/>
                <w:spacing w:val="-2"/>
                <w:szCs w:val="24"/>
                <w:lang w:val="x-none" w:eastAsia="x-none"/>
              </w:rPr>
              <w:t>p</w:t>
            </w:r>
            <w:r w:rsidRPr="002032BD">
              <w:rPr>
                <w:rFonts w:eastAsia="Times New Roman" w:cs="Arial"/>
                <w:szCs w:val="24"/>
                <w:lang w:val="x-none" w:eastAsia="x-none"/>
              </w:rPr>
              <w:t>plies</w:t>
            </w:r>
            <w:r w:rsidRPr="002032BD">
              <w:rPr>
                <w:rFonts w:eastAsia="Times New Roman" w:cs="Arial"/>
                <w:spacing w:val="30"/>
                <w:szCs w:val="24"/>
                <w:lang w:val="x-none" w:eastAsia="x-none"/>
              </w:rPr>
              <w:t xml:space="preserve"> </w:t>
            </w:r>
            <w:r w:rsidRPr="002032BD">
              <w:rPr>
                <w:rFonts w:eastAsia="Times New Roman" w:cs="Arial"/>
                <w:spacing w:val="-1"/>
                <w:szCs w:val="24"/>
                <w:lang w:val="x-none" w:eastAsia="x-none"/>
              </w:rPr>
              <w:t>t</w:t>
            </w:r>
            <w:r w:rsidRPr="002032BD">
              <w:rPr>
                <w:rFonts w:eastAsia="Times New Roman" w:cs="Arial"/>
                <w:szCs w:val="24"/>
                <w:lang w:val="x-none" w:eastAsia="x-none"/>
              </w:rPr>
              <w:t>o</w:t>
            </w:r>
            <w:r w:rsidRPr="002032BD">
              <w:rPr>
                <w:rFonts w:eastAsia="Times New Roman" w:cs="Arial"/>
                <w:spacing w:val="30"/>
                <w:szCs w:val="24"/>
                <w:lang w:val="x-none" w:eastAsia="x-none"/>
              </w:rPr>
              <w:t xml:space="preserve"> </w:t>
            </w:r>
            <w:r w:rsidRPr="002032BD">
              <w:rPr>
                <w:rFonts w:eastAsia="Times New Roman" w:cs="Arial"/>
                <w:szCs w:val="24"/>
                <w:lang w:val="x-none" w:eastAsia="x-none"/>
              </w:rPr>
              <w:t>all</w:t>
            </w:r>
            <w:r w:rsidRPr="002032BD">
              <w:rPr>
                <w:rFonts w:eastAsia="Times New Roman" w:cs="Arial"/>
                <w:spacing w:val="30"/>
                <w:szCs w:val="24"/>
                <w:lang w:val="x-none" w:eastAsia="x-none"/>
              </w:rPr>
              <w:t xml:space="preserve"> </w:t>
            </w:r>
            <w:r w:rsidRPr="002032BD">
              <w:rPr>
                <w:rFonts w:eastAsia="Times New Roman" w:cs="Arial"/>
                <w:spacing w:val="-1"/>
                <w:szCs w:val="24"/>
                <w:lang w:val="x-none" w:eastAsia="x-none"/>
              </w:rPr>
              <w:t>funde</w:t>
            </w:r>
            <w:r w:rsidRPr="002032BD">
              <w:rPr>
                <w:rFonts w:eastAsia="Times New Roman" w:cs="Arial"/>
                <w:szCs w:val="24"/>
                <w:lang w:val="x-none" w:eastAsia="x-none"/>
              </w:rPr>
              <w:t>d</w:t>
            </w:r>
            <w:r w:rsidRPr="002032BD">
              <w:rPr>
                <w:rFonts w:eastAsia="Times New Roman" w:cs="Arial"/>
                <w:spacing w:val="29"/>
                <w:szCs w:val="24"/>
                <w:lang w:val="x-none" w:eastAsia="x-none"/>
              </w:rPr>
              <w:t xml:space="preserve"> </w:t>
            </w:r>
            <w:r w:rsidRPr="002032BD">
              <w:rPr>
                <w:rFonts w:eastAsia="Times New Roman" w:cs="Arial"/>
                <w:szCs w:val="24"/>
                <w:lang w:val="x-none" w:eastAsia="x-none"/>
              </w:rPr>
              <w:t>service categories</w:t>
            </w:r>
            <w:r w:rsidRPr="002032BD">
              <w:rPr>
                <w:rFonts w:eastAsia="Times New Roman" w:cs="Arial"/>
                <w:spacing w:val="31"/>
                <w:szCs w:val="24"/>
                <w:lang w:val="x-none" w:eastAsia="x-none"/>
              </w:rPr>
              <w:t xml:space="preserve"> </w:t>
            </w:r>
            <w:r w:rsidRPr="002032BD">
              <w:rPr>
                <w:rFonts w:eastAsia="Times New Roman" w:cs="Arial"/>
                <w:szCs w:val="24"/>
                <w:lang w:val="x-none" w:eastAsia="x-none"/>
              </w:rPr>
              <w:t>and</w:t>
            </w:r>
            <w:r w:rsidRPr="002032BD">
              <w:rPr>
                <w:rFonts w:eastAsia="Times New Roman" w:cs="Arial"/>
                <w:spacing w:val="29"/>
                <w:szCs w:val="24"/>
                <w:lang w:val="x-none" w:eastAsia="x-none"/>
              </w:rPr>
              <w:t xml:space="preserve"> </w:t>
            </w:r>
            <w:r w:rsidRPr="002032BD">
              <w:rPr>
                <w:rFonts w:eastAsia="Times New Roman" w:cs="Arial"/>
                <w:szCs w:val="24"/>
                <w:lang w:val="x-none" w:eastAsia="x-none"/>
              </w:rPr>
              <w:t>is</w:t>
            </w:r>
            <w:r w:rsidRPr="002032BD">
              <w:rPr>
                <w:rFonts w:eastAsia="Times New Roman" w:cs="Arial"/>
                <w:spacing w:val="31"/>
                <w:szCs w:val="24"/>
                <w:lang w:val="x-none" w:eastAsia="x-none"/>
              </w:rPr>
              <w:t xml:space="preserve"> </w:t>
            </w:r>
            <w:r w:rsidRPr="002032BD">
              <w:rPr>
                <w:rFonts w:eastAsia="Times New Roman" w:cs="Arial"/>
                <w:spacing w:val="-2"/>
                <w:szCs w:val="24"/>
                <w:lang w:val="x-none" w:eastAsia="x-none"/>
              </w:rPr>
              <w:t>k</w:t>
            </w:r>
            <w:r w:rsidRPr="002032BD">
              <w:rPr>
                <w:rFonts w:eastAsia="Times New Roman" w:cs="Arial"/>
                <w:spacing w:val="-1"/>
                <w:szCs w:val="24"/>
                <w:lang w:val="x-none" w:eastAsia="x-none"/>
              </w:rPr>
              <w:t>n</w:t>
            </w:r>
            <w:r w:rsidRPr="002032BD">
              <w:rPr>
                <w:rFonts w:eastAsia="Times New Roman" w:cs="Arial"/>
                <w:szCs w:val="24"/>
                <w:lang w:val="x-none" w:eastAsia="x-none"/>
              </w:rPr>
              <w:t>own</w:t>
            </w:r>
            <w:r w:rsidRPr="002032BD">
              <w:rPr>
                <w:rFonts w:eastAsia="Times New Roman" w:cs="Arial"/>
                <w:spacing w:val="29"/>
                <w:szCs w:val="24"/>
                <w:lang w:val="x-none" w:eastAsia="x-none"/>
              </w:rPr>
              <w:t xml:space="preserve"> </w:t>
            </w:r>
            <w:r w:rsidRPr="002032BD">
              <w:rPr>
                <w:rFonts w:eastAsia="Times New Roman" w:cs="Arial"/>
                <w:szCs w:val="24"/>
                <w:lang w:val="x-none" w:eastAsia="x-none"/>
              </w:rPr>
              <w:t>as</w:t>
            </w:r>
            <w:r w:rsidRPr="002032BD">
              <w:rPr>
                <w:rFonts w:eastAsia="Times New Roman" w:cs="Arial"/>
                <w:spacing w:val="31"/>
                <w:szCs w:val="24"/>
                <w:lang w:val="x-none" w:eastAsia="x-none"/>
              </w:rPr>
              <w:t xml:space="preserve"> </w:t>
            </w:r>
            <w:r w:rsidRPr="002032BD">
              <w:rPr>
                <w:rFonts w:eastAsia="Times New Roman" w:cs="Arial"/>
                <w:spacing w:val="-1"/>
                <w:szCs w:val="24"/>
                <w:lang w:val="x-none" w:eastAsia="x-none"/>
              </w:rPr>
              <w:t>th</w:t>
            </w:r>
            <w:r w:rsidRPr="002032BD">
              <w:rPr>
                <w:rFonts w:eastAsia="Times New Roman" w:cs="Arial"/>
                <w:szCs w:val="24"/>
                <w:lang w:val="x-none" w:eastAsia="x-none"/>
              </w:rPr>
              <w:t>e</w:t>
            </w:r>
            <w:r w:rsidRPr="002032BD">
              <w:rPr>
                <w:rFonts w:eastAsia="Times New Roman" w:cs="Arial"/>
                <w:spacing w:val="29"/>
                <w:szCs w:val="24"/>
                <w:lang w:val="x-none" w:eastAsia="x-none"/>
              </w:rPr>
              <w:t xml:space="preserve"> </w:t>
            </w:r>
            <w:r w:rsidRPr="002032BD">
              <w:rPr>
                <w:rFonts w:eastAsia="Times New Roman" w:cs="Arial"/>
                <w:spacing w:val="-1"/>
                <w:szCs w:val="24"/>
                <w:lang w:val="x-none" w:eastAsia="x-none"/>
              </w:rPr>
              <w:t>System Wide Standards of Care.</w:t>
            </w:r>
            <w:r w:rsidRPr="002032BD">
              <w:rPr>
                <w:rFonts w:eastAsia="Times New Roman" w:cs="Arial"/>
                <w:spacing w:val="8"/>
                <w:szCs w:val="24"/>
                <w:lang w:val="x-none" w:eastAsia="x-none"/>
              </w:rPr>
              <w:t xml:space="preserve"> </w:t>
            </w:r>
            <w:r w:rsidRPr="002032BD">
              <w:rPr>
                <w:rFonts w:eastAsia="Times New Roman" w:cs="Arial"/>
                <w:spacing w:val="-1"/>
                <w:szCs w:val="24"/>
                <w:lang w:val="x-none" w:eastAsia="x-none"/>
              </w:rPr>
              <w:t>E</w:t>
            </w:r>
            <w:r w:rsidRPr="002032BD">
              <w:rPr>
                <w:rFonts w:eastAsia="Times New Roman" w:cs="Arial"/>
                <w:spacing w:val="1"/>
                <w:szCs w:val="24"/>
                <w:lang w:val="x-none" w:eastAsia="x-none"/>
              </w:rPr>
              <w:t>a</w:t>
            </w:r>
            <w:r w:rsidRPr="002032BD">
              <w:rPr>
                <w:rFonts w:eastAsia="Times New Roman" w:cs="Arial"/>
                <w:spacing w:val="-1"/>
                <w:szCs w:val="24"/>
                <w:lang w:val="x-none" w:eastAsia="x-none"/>
              </w:rPr>
              <w:t>c</w:t>
            </w:r>
            <w:r w:rsidRPr="002032BD">
              <w:rPr>
                <w:rFonts w:eastAsia="Times New Roman" w:cs="Arial"/>
                <w:szCs w:val="24"/>
                <w:lang w:val="x-none" w:eastAsia="x-none"/>
              </w:rPr>
              <w:t>h</w:t>
            </w:r>
            <w:r w:rsidRPr="002032BD">
              <w:rPr>
                <w:rFonts w:eastAsia="Times New Roman" w:cs="Arial"/>
                <w:spacing w:val="6"/>
                <w:szCs w:val="24"/>
                <w:lang w:val="x-none" w:eastAsia="x-none"/>
              </w:rPr>
              <w:t xml:space="preserve"> </w:t>
            </w:r>
            <w:r w:rsidRPr="002032BD">
              <w:rPr>
                <w:rFonts w:eastAsia="Times New Roman" w:cs="Arial"/>
                <w:spacing w:val="1"/>
                <w:szCs w:val="24"/>
                <w:lang w:val="x-none" w:eastAsia="x-none"/>
              </w:rPr>
              <w:t>s</w:t>
            </w:r>
            <w:r w:rsidRPr="002032BD">
              <w:rPr>
                <w:rFonts w:eastAsia="Times New Roman" w:cs="Arial"/>
                <w:szCs w:val="24"/>
                <w:lang w:val="x-none" w:eastAsia="x-none"/>
              </w:rPr>
              <w:t>e</w:t>
            </w:r>
            <w:r w:rsidRPr="002032BD">
              <w:rPr>
                <w:rFonts w:eastAsia="Times New Roman" w:cs="Arial"/>
                <w:spacing w:val="-1"/>
                <w:szCs w:val="24"/>
                <w:lang w:val="x-none" w:eastAsia="x-none"/>
              </w:rPr>
              <w:t>ctio</w:t>
            </w:r>
            <w:r w:rsidRPr="002032BD">
              <w:rPr>
                <w:rFonts w:eastAsia="Times New Roman" w:cs="Arial"/>
                <w:szCs w:val="24"/>
                <w:lang w:val="x-none" w:eastAsia="x-none"/>
              </w:rPr>
              <w:t>n</w:t>
            </w:r>
            <w:r w:rsidRPr="002032BD">
              <w:rPr>
                <w:rFonts w:eastAsia="Times New Roman" w:cs="Arial"/>
                <w:spacing w:val="8"/>
                <w:szCs w:val="24"/>
                <w:lang w:val="x-none" w:eastAsia="x-none"/>
              </w:rPr>
              <w:t xml:space="preserve"> </w:t>
            </w:r>
            <w:r w:rsidRPr="002032BD">
              <w:rPr>
                <w:rFonts w:eastAsia="Times New Roman" w:cs="Arial"/>
                <w:spacing w:val="-1"/>
                <w:szCs w:val="24"/>
                <w:lang w:val="x-none" w:eastAsia="x-none"/>
              </w:rPr>
              <w:t xml:space="preserve">of the System Wide Standards of Care begins with a specific standard and is followed by specific measures. </w:t>
            </w:r>
          </w:p>
          <w:p w:rsidR="008D6BA9" w:rsidRPr="002032BD" w:rsidRDefault="008D6BA9" w:rsidP="008D6BA9">
            <w:pPr>
              <w:widowControl w:val="0"/>
              <w:autoSpaceDE w:val="0"/>
              <w:autoSpaceDN w:val="0"/>
              <w:adjustRightInd w:val="0"/>
              <w:rPr>
                <w:rFonts w:eastAsia="Times New Roman" w:cs="Arial"/>
                <w:spacing w:val="-1"/>
                <w:szCs w:val="24"/>
                <w:lang w:eastAsia="x-none"/>
              </w:rPr>
            </w:pPr>
          </w:p>
          <w:p w:rsidR="008D6BA9" w:rsidRDefault="008D6BA9" w:rsidP="008D6BA9">
            <w:pPr>
              <w:widowControl w:val="0"/>
              <w:autoSpaceDE w:val="0"/>
              <w:autoSpaceDN w:val="0"/>
              <w:adjustRightInd w:val="0"/>
              <w:rPr>
                <w:rFonts w:eastAsia="Times New Roman" w:cs="Arial"/>
                <w:spacing w:val="-1"/>
                <w:szCs w:val="24"/>
                <w:lang w:eastAsia="x-none"/>
              </w:rPr>
            </w:pPr>
            <w:r w:rsidRPr="002032BD">
              <w:rPr>
                <w:rFonts w:eastAsia="Times New Roman" w:cs="Arial"/>
                <w:spacing w:val="-1"/>
                <w:szCs w:val="24"/>
                <w:lang w:val="x-none" w:eastAsia="x-none"/>
              </w:rPr>
              <w:t>The following are the funded service categories within the Orlando EMA Ryan White Part A.</w:t>
            </w:r>
          </w:p>
        </w:tc>
      </w:tr>
    </w:tbl>
    <w:p w:rsidR="002032BD" w:rsidRPr="002032BD" w:rsidRDefault="002032BD" w:rsidP="002032BD">
      <w:pPr>
        <w:widowControl w:val="0"/>
        <w:autoSpaceDE w:val="0"/>
        <w:autoSpaceDN w:val="0"/>
        <w:adjustRightInd w:val="0"/>
        <w:spacing w:after="0" w:line="240" w:lineRule="auto"/>
        <w:jc w:val="both"/>
        <w:rPr>
          <w:rFonts w:ascii="Arial" w:eastAsia="Times New Roman" w:hAnsi="Arial" w:cs="Arial"/>
          <w:b/>
          <w:spacing w:val="-4"/>
          <w:sz w:val="24"/>
          <w:szCs w:val="24"/>
          <w:lang w:val="x-none" w:eastAsia="x-none"/>
        </w:rPr>
      </w:pPr>
    </w:p>
    <w:tbl>
      <w:tblPr>
        <w:tblW w:w="9157" w:type="dxa"/>
        <w:tblInd w:w="198" w:type="dxa"/>
        <w:tblLook w:val="04A0" w:firstRow="1" w:lastRow="0" w:firstColumn="1" w:lastColumn="0" w:noHBand="0" w:noVBand="1"/>
      </w:tblPr>
      <w:tblGrid>
        <w:gridCol w:w="4415"/>
        <w:gridCol w:w="4742"/>
      </w:tblGrid>
      <w:tr w:rsidR="002032BD" w:rsidRPr="002032BD" w:rsidTr="00E74196">
        <w:trPr>
          <w:trHeight w:val="447"/>
        </w:trPr>
        <w:tc>
          <w:tcPr>
            <w:tcW w:w="4415" w:type="dxa"/>
            <w:shd w:val="clear" w:color="auto" w:fill="auto"/>
          </w:tcPr>
          <w:p w:rsidR="002032BD" w:rsidRPr="00082D89" w:rsidRDefault="002032BD"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 xml:space="preserve">Outpatient Ambulatory Health Services </w:t>
            </w:r>
            <w:r w:rsidRPr="00082D89">
              <w:rPr>
                <w:rFonts w:ascii="Arial" w:eastAsia="Times New Roman" w:hAnsi="Arial" w:cs="Arial"/>
                <w:sz w:val="18"/>
                <w:szCs w:val="18"/>
                <w:lang w:val="x-none" w:eastAsia="x-none"/>
              </w:rPr>
              <w:t>(OAHS)</w:t>
            </w:r>
          </w:p>
        </w:tc>
        <w:tc>
          <w:tcPr>
            <w:tcW w:w="4742" w:type="dxa"/>
            <w:shd w:val="clear" w:color="auto" w:fill="auto"/>
          </w:tcPr>
          <w:p w:rsidR="002032BD" w:rsidRPr="00082D89" w:rsidRDefault="002032BD"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Early Intervention Services</w:t>
            </w:r>
          </w:p>
          <w:p w:rsidR="002032BD" w:rsidRPr="00082D89" w:rsidRDefault="002032BD"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Emergency Financial Assistance</w:t>
            </w:r>
          </w:p>
        </w:tc>
      </w:tr>
      <w:tr w:rsidR="002032BD" w:rsidRPr="002032BD" w:rsidTr="00E74196">
        <w:trPr>
          <w:trHeight w:val="888"/>
        </w:trPr>
        <w:tc>
          <w:tcPr>
            <w:tcW w:w="4415" w:type="dxa"/>
            <w:shd w:val="clear" w:color="auto" w:fill="auto"/>
          </w:tcPr>
          <w:p w:rsidR="002032BD" w:rsidRPr="00082D89" w:rsidRDefault="002032BD"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Health Insurance Premium &amp; Cost-Sharing</w:t>
            </w:r>
          </w:p>
          <w:p w:rsidR="00082D89" w:rsidRPr="00082D89" w:rsidRDefault="00082D89"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Local  Pharmaceutical Assistance Program (LPAP)</w:t>
            </w:r>
          </w:p>
        </w:tc>
        <w:tc>
          <w:tcPr>
            <w:tcW w:w="4742" w:type="dxa"/>
            <w:shd w:val="clear" w:color="auto" w:fill="auto"/>
          </w:tcPr>
          <w:p w:rsidR="002032BD" w:rsidRPr="00082D89" w:rsidRDefault="002032BD"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Mental Health</w:t>
            </w:r>
          </w:p>
          <w:p w:rsidR="00082D89" w:rsidRPr="00082D89" w:rsidRDefault="00082D89"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Oral Health Services</w:t>
            </w:r>
          </w:p>
          <w:p w:rsidR="00082D89" w:rsidRPr="00082D89" w:rsidRDefault="00082D89"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Non-medical Case Management</w:t>
            </w:r>
          </w:p>
          <w:p w:rsidR="00082D89" w:rsidRPr="00082D89" w:rsidRDefault="00082D89"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Food Bank/Home Delivered Meals</w:t>
            </w:r>
          </w:p>
        </w:tc>
      </w:tr>
      <w:tr w:rsidR="002032BD" w:rsidRPr="002032BD" w:rsidTr="00E74196">
        <w:trPr>
          <w:trHeight w:val="224"/>
        </w:trPr>
        <w:tc>
          <w:tcPr>
            <w:tcW w:w="4415" w:type="dxa"/>
            <w:shd w:val="clear" w:color="auto" w:fill="auto"/>
          </w:tcPr>
          <w:p w:rsidR="002032BD" w:rsidRPr="00082D89" w:rsidRDefault="00082D89"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Medical Case Management</w:t>
            </w:r>
          </w:p>
          <w:p w:rsidR="00082D89" w:rsidRPr="00082D89" w:rsidRDefault="00082D89"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Medical Nutritional Therapy</w:t>
            </w:r>
          </w:p>
        </w:tc>
        <w:tc>
          <w:tcPr>
            <w:tcW w:w="4742" w:type="dxa"/>
            <w:shd w:val="clear" w:color="auto" w:fill="auto"/>
          </w:tcPr>
          <w:p w:rsidR="002032BD" w:rsidRPr="00082D89" w:rsidRDefault="00082D89"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Substance Abuse Services - Outpatient</w:t>
            </w:r>
          </w:p>
        </w:tc>
      </w:tr>
      <w:tr w:rsidR="002032BD" w:rsidRPr="002032BD" w:rsidTr="00E74196">
        <w:trPr>
          <w:trHeight w:val="224"/>
        </w:trPr>
        <w:tc>
          <w:tcPr>
            <w:tcW w:w="4415" w:type="dxa"/>
            <w:shd w:val="clear" w:color="auto" w:fill="auto"/>
          </w:tcPr>
          <w:p w:rsidR="002032BD" w:rsidRPr="00082D89" w:rsidRDefault="00082D89"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lang w:val="x-none" w:eastAsia="x-none"/>
              </w:rPr>
              <w:t>Medical Transportation</w:t>
            </w:r>
          </w:p>
        </w:tc>
        <w:tc>
          <w:tcPr>
            <w:tcW w:w="4742" w:type="dxa"/>
            <w:shd w:val="clear" w:color="auto" w:fill="auto"/>
          </w:tcPr>
          <w:p w:rsidR="002032BD" w:rsidRPr="00082D89" w:rsidRDefault="00082D89" w:rsidP="001B1B43">
            <w:pPr>
              <w:pStyle w:val="ListParagraph"/>
              <w:widowControl w:val="0"/>
              <w:numPr>
                <w:ilvl w:val="0"/>
                <w:numId w:val="31"/>
              </w:numPr>
              <w:tabs>
                <w:tab w:val="left" w:pos="827"/>
              </w:tabs>
              <w:spacing w:after="0" w:line="240" w:lineRule="auto"/>
              <w:rPr>
                <w:rFonts w:ascii="Arial" w:eastAsia="Times New Roman" w:hAnsi="Arial" w:cs="Arial"/>
                <w:sz w:val="24"/>
                <w:szCs w:val="24"/>
                <w:lang w:val="x-none" w:eastAsia="x-none"/>
              </w:rPr>
            </w:pPr>
            <w:r w:rsidRPr="00082D89">
              <w:rPr>
                <w:rFonts w:ascii="Arial" w:eastAsia="Times New Roman" w:hAnsi="Arial" w:cs="Arial"/>
                <w:sz w:val="24"/>
                <w:szCs w:val="24"/>
              </w:rPr>
              <w:t>Substance Abuse Residential</w:t>
            </w:r>
          </w:p>
        </w:tc>
      </w:tr>
    </w:tbl>
    <w:p w:rsidR="0069155E" w:rsidRDefault="0069155E" w:rsidP="00267373">
      <w:pPr>
        <w:spacing w:after="0" w:line="240" w:lineRule="auto"/>
        <w:jc w:val="both"/>
        <w:rPr>
          <w:rFonts w:ascii="Arial" w:eastAsia="Times New Roman" w:hAnsi="Arial" w:cs="Arial"/>
          <w:sz w:val="24"/>
          <w:szCs w:val="24"/>
          <w:lang w:eastAsia="x-none"/>
        </w:rPr>
      </w:pPr>
    </w:p>
    <w:tbl>
      <w:tblPr>
        <w:tblStyle w:val="TableGrid"/>
        <w:tblW w:w="0" w:type="auto"/>
        <w:tblLook w:val="04A0" w:firstRow="1" w:lastRow="0" w:firstColumn="1" w:lastColumn="0" w:noHBand="0" w:noVBand="1"/>
      </w:tblPr>
      <w:tblGrid>
        <w:gridCol w:w="9576"/>
      </w:tblGrid>
      <w:tr w:rsidR="008D6BA9" w:rsidTr="008D6BA9">
        <w:tc>
          <w:tcPr>
            <w:tcW w:w="9576" w:type="dxa"/>
            <w:tcBorders>
              <w:top w:val="nil"/>
              <w:left w:val="nil"/>
              <w:bottom w:val="nil"/>
              <w:right w:val="nil"/>
            </w:tcBorders>
          </w:tcPr>
          <w:p w:rsidR="008D6BA9" w:rsidRPr="008D6BA9" w:rsidRDefault="008D6BA9" w:rsidP="008D6BA9">
            <w:pPr>
              <w:rPr>
                <w:rFonts w:eastAsia="Times New Roman" w:cs="Arial"/>
                <w:szCs w:val="24"/>
                <w:lang w:eastAsia="x-none"/>
              </w:rPr>
            </w:pPr>
            <w:r w:rsidRPr="002032BD">
              <w:rPr>
                <w:rFonts w:eastAsia="Times New Roman" w:cs="Arial"/>
                <w:szCs w:val="24"/>
                <w:lang w:val="x-none" w:eastAsia="x-none"/>
              </w:rPr>
              <w:t>In addition to the System Wide Standards, Section II contains additional standards that apply to each specific service category as defined by Health Resources Service Administration (HRSA).  The Service-Specific Standards of Care apply to components of service delivery that vary by service category. Providers of these services must</w:t>
            </w:r>
            <w:r>
              <w:rPr>
                <w:rFonts w:eastAsia="Times New Roman" w:cs="Arial"/>
                <w:szCs w:val="24"/>
                <w:lang w:eastAsia="x-none"/>
              </w:rPr>
              <w:t xml:space="preserve"> </w:t>
            </w:r>
            <w:r w:rsidRPr="002032BD">
              <w:rPr>
                <w:rFonts w:eastAsia="Times New Roman" w:cs="Arial"/>
                <w:szCs w:val="24"/>
                <w:lang w:val="x-none" w:eastAsia="x-none"/>
              </w:rPr>
              <w:t>comply with the System-Wide Standards in Section 1, as well as the Service-Specific Standards in Section II.</w:t>
            </w:r>
          </w:p>
        </w:tc>
      </w:tr>
      <w:tr w:rsidR="00267373" w:rsidRPr="00267373" w:rsidTr="00203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576" w:type="dxa"/>
            <w:shd w:val="clear" w:color="auto" w:fill="17365D" w:themeFill="text2" w:themeFillShade="BF"/>
            <w:vAlign w:val="center"/>
          </w:tcPr>
          <w:p w:rsidR="00267373" w:rsidRPr="0069155E" w:rsidRDefault="00DB0CB6" w:rsidP="00DB0CB6">
            <w:pPr>
              <w:pStyle w:val="Heading2"/>
              <w:spacing w:before="0"/>
              <w:jc w:val="center"/>
              <w:outlineLvl w:val="1"/>
              <w:rPr>
                <w:color w:val="FFFFFF" w:themeColor="background1"/>
              </w:rPr>
            </w:pPr>
            <w:bookmarkStart w:id="4" w:name="_System_Wide_Service"/>
            <w:bookmarkEnd w:id="4"/>
            <w:r>
              <w:rPr>
                <w:rFonts w:asciiTheme="minorHAnsi" w:eastAsiaTheme="minorHAnsi" w:hAnsiTheme="minorHAnsi" w:cstheme="minorBidi"/>
                <w:b w:val="0"/>
                <w:color w:val="auto"/>
                <w:sz w:val="22"/>
                <w:szCs w:val="22"/>
              </w:rPr>
              <w:lastRenderedPageBreak/>
              <w:br w:type="page"/>
            </w:r>
            <w:r w:rsidR="000F63D5" w:rsidRPr="0069155E">
              <w:rPr>
                <w:color w:val="FFFFFF" w:themeColor="background1"/>
                <w:sz w:val="28"/>
              </w:rPr>
              <w:t xml:space="preserve"> </w:t>
            </w:r>
            <w:bookmarkStart w:id="5" w:name="_Toc489280857"/>
            <w:r w:rsidR="00267373" w:rsidRPr="0069155E">
              <w:rPr>
                <w:color w:val="FFFFFF" w:themeColor="background1"/>
                <w:sz w:val="28"/>
              </w:rPr>
              <w:t>System Wide Service Standards</w:t>
            </w:r>
            <w:bookmarkEnd w:id="5"/>
          </w:p>
        </w:tc>
      </w:tr>
    </w:tbl>
    <w:p w:rsidR="00826FDA" w:rsidRDefault="00826FDA" w:rsidP="007C4F82">
      <w:pPr>
        <w:spacing w:after="0"/>
      </w:pPr>
    </w:p>
    <w:tbl>
      <w:tblPr>
        <w:tblStyle w:val="TableGrid"/>
        <w:tblW w:w="0" w:type="auto"/>
        <w:tblLook w:val="04A0" w:firstRow="1" w:lastRow="0" w:firstColumn="1" w:lastColumn="0" w:noHBand="0" w:noVBand="1"/>
      </w:tblPr>
      <w:tblGrid>
        <w:gridCol w:w="9576"/>
      </w:tblGrid>
      <w:tr w:rsidR="00BB238C" w:rsidTr="00BB238C">
        <w:tc>
          <w:tcPr>
            <w:tcW w:w="9576" w:type="dxa"/>
            <w:tcBorders>
              <w:top w:val="nil"/>
              <w:left w:val="nil"/>
              <w:bottom w:val="nil"/>
              <w:right w:val="nil"/>
            </w:tcBorders>
          </w:tcPr>
          <w:p w:rsidR="00BB238C" w:rsidRPr="002032BD" w:rsidRDefault="00826FDA" w:rsidP="00B32A01">
            <w:pPr>
              <w:widowControl w:val="0"/>
              <w:kinsoku w:val="0"/>
              <w:overflowPunct w:val="0"/>
              <w:autoSpaceDE w:val="0"/>
              <w:autoSpaceDN w:val="0"/>
              <w:adjustRightInd w:val="0"/>
              <w:rPr>
                <w:rFonts w:eastAsia="Times New Roman" w:cs="Arial"/>
                <w:szCs w:val="24"/>
                <w:lang w:val="x-none" w:eastAsia="x-none"/>
              </w:rPr>
            </w:pPr>
            <w:r>
              <w:br w:type="page"/>
            </w:r>
            <w:r w:rsidR="00BB238C" w:rsidRPr="002032BD">
              <w:rPr>
                <w:rFonts w:eastAsia="Times New Roman" w:cs="Arial"/>
                <w:szCs w:val="24"/>
                <w:lang w:val="x-none" w:eastAsia="x-none"/>
              </w:rPr>
              <w:t>Standards of Care are the minimum requirements that programs are expected to meet when</w:t>
            </w:r>
            <w:r w:rsidR="00BB238C" w:rsidRPr="002032BD">
              <w:rPr>
                <w:rFonts w:eastAsia="Times New Roman" w:cs="Arial"/>
                <w:w w:val="99"/>
                <w:szCs w:val="24"/>
                <w:lang w:val="x-none" w:eastAsia="x-none"/>
              </w:rPr>
              <w:t xml:space="preserve"> </w:t>
            </w:r>
            <w:r w:rsidR="00BB238C" w:rsidRPr="002032BD">
              <w:rPr>
                <w:rFonts w:eastAsia="Times New Roman" w:cs="Arial"/>
                <w:szCs w:val="24"/>
                <w:lang w:val="x-none" w:eastAsia="x-none"/>
              </w:rPr>
              <w:t xml:space="preserve">providing HIV/AIDS core and support services funded by Ryan White Part A Orlando EMA. </w:t>
            </w:r>
          </w:p>
          <w:p w:rsidR="00BB238C" w:rsidRPr="002032BD" w:rsidRDefault="00BB238C" w:rsidP="00BB238C">
            <w:pPr>
              <w:tabs>
                <w:tab w:val="left" w:pos="1005"/>
              </w:tabs>
              <w:kinsoku w:val="0"/>
              <w:overflowPunct w:val="0"/>
              <w:spacing w:before="240" w:line="260" w:lineRule="exact"/>
              <w:ind w:hanging="360"/>
              <w:rPr>
                <w:rFonts w:eastAsia="Times New Roman" w:cs="Arial"/>
                <w:szCs w:val="24"/>
                <w:lang w:val="x-none" w:eastAsia="x-none"/>
              </w:rPr>
            </w:pPr>
            <w:r>
              <w:rPr>
                <w:rFonts w:eastAsia="Times New Roman" w:cs="Arial"/>
              </w:rPr>
              <w:tab/>
            </w:r>
            <w:r w:rsidRPr="002032BD">
              <w:rPr>
                <w:rFonts w:eastAsia="Times New Roman" w:cs="Arial"/>
                <w:szCs w:val="24"/>
                <w:lang w:val="x-none" w:eastAsia="x-none"/>
              </w:rPr>
              <w:t>The objectives of the System Wide Standards of Care are to help achieve the goals of each service category by</w:t>
            </w:r>
            <w:r w:rsidRPr="002032BD">
              <w:rPr>
                <w:rFonts w:eastAsia="Times New Roman" w:cs="Arial"/>
                <w:w w:val="99"/>
                <w:szCs w:val="24"/>
                <w:lang w:val="x-none" w:eastAsia="x-none"/>
              </w:rPr>
              <w:t xml:space="preserve"> </w:t>
            </w:r>
            <w:r w:rsidRPr="002032BD">
              <w:rPr>
                <w:rFonts w:eastAsia="Times New Roman" w:cs="Arial"/>
                <w:szCs w:val="24"/>
                <w:lang w:val="x-none" w:eastAsia="x-none"/>
              </w:rPr>
              <w:t>ensuring that programs:</w:t>
            </w:r>
          </w:p>
          <w:p w:rsidR="00BB238C" w:rsidRPr="00E74196" w:rsidRDefault="00BB238C" w:rsidP="00BB238C">
            <w:pPr>
              <w:pStyle w:val="ListParagraph"/>
              <w:widowControl w:val="0"/>
              <w:numPr>
                <w:ilvl w:val="0"/>
                <w:numId w:val="90"/>
              </w:numPr>
              <w:tabs>
                <w:tab w:val="left" w:pos="867"/>
              </w:tabs>
              <w:kinsoku w:val="0"/>
              <w:overflowPunct w:val="0"/>
              <w:autoSpaceDE w:val="0"/>
              <w:autoSpaceDN w:val="0"/>
              <w:adjustRightInd w:val="0"/>
              <w:rPr>
                <w:rFonts w:eastAsia="Times New Roman" w:cs="Arial"/>
                <w:szCs w:val="24"/>
                <w:lang w:val="x-none" w:eastAsia="x-none"/>
              </w:rPr>
            </w:pPr>
            <w:r w:rsidRPr="00E74196">
              <w:rPr>
                <w:rFonts w:eastAsia="Times New Roman" w:cs="Arial"/>
                <w:szCs w:val="24"/>
                <w:lang w:val="x-none" w:eastAsia="x-none"/>
              </w:rPr>
              <w:t>Have policies and procedures in place to protect consumers’ rights and ensure quality of care;</w:t>
            </w:r>
          </w:p>
          <w:p w:rsidR="00BB238C" w:rsidRPr="00E74196" w:rsidRDefault="00BB238C" w:rsidP="00BB238C">
            <w:pPr>
              <w:pStyle w:val="ListParagraph"/>
              <w:widowControl w:val="0"/>
              <w:numPr>
                <w:ilvl w:val="0"/>
                <w:numId w:val="90"/>
              </w:numPr>
              <w:tabs>
                <w:tab w:val="left" w:pos="867"/>
              </w:tabs>
              <w:kinsoku w:val="0"/>
              <w:overflowPunct w:val="0"/>
              <w:autoSpaceDE w:val="0"/>
              <w:autoSpaceDN w:val="0"/>
              <w:adjustRightInd w:val="0"/>
              <w:spacing w:line="268" w:lineRule="exact"/>
              <w:rPr>
                <w:rFonts w:eastAsia="Times New Roman" w:cs="Arial"/>
                <w:szCs w:val="24"/>
                <w:lang w:val="x-none" w:eastAsia="x-none"/>
              </w:rPr>
            </w:pPr>
            <w:r w:rsidRPr="00E74196">
              <w:rPr>
                <w:rFonts w:eastAsia="Times New Roman" w:cs="Arial"/>
                <w:szCs w:val="24"/>
                <w:lang w:val="x-none" w:eastAsia="x-none"/>
              </w:rPr>
              <w:t>Provide consumers with access to the highest quality services through experienced, trained and,</w:t>
            </w:r>
            <w:r w:rsidRPr="00E74196">
              <w:rPr>
                <w:rFonts w:eastAsia="Times New Roman" w:cs="Arial"/>
                <w:w w:val="99"/>
                <w:szCs w:val="24"/>
                <w:lang w:val="x-none" w:eastAsia="x-none"/>
              </w:rPr>
              <w:t xml:space="preserve"> </w:t>
            </w:r>
            <w:r w:rsidRPr="00E74196">
              <w:rPr>
                <w:rFonts w:eastAsia="Times New Roman" w:cs="Arial"/>
                <w:szCs w:val="24"/>
                <w:lang w:val="x-none" w:eastAsia="x-none"/>
              </w:rPr>
              <w:t>when appropriate, licensed staff;</w:t>
            </w:r>
          </w:p>
          <w:p w:rsidR="00BB238C" w:rsidRPr="00E74196" w:rsidRDefault="00BB238C" w:rsidP="00BB238C">
            <w:pPr>
              <w:pStyle w:val="ListParagraph"/>
              <w:widowControl w:val="0"/>
              <w:numPr>
                <w:ilvl w:val="0"/>
                <w:numId w:val="90"/>
              </w:numPr>
              <w:tabs>
                <w:tab w:val="left" w:pos="867"/>
              </w:tabs>
              <w:kinsoku w:val="0"/>
              <w:overflowPunct w:val="0"/>
              <w:autoSpaceDE w:val="0"/>
              <w:autoSpaceDN w:val="0"/>
              <w:adjustRightInd w:val="0"/>
              <w:rPr>
                <w:rFonts w:eastAsia="Times New Roman" w:cs="Arial"/>
                <w:szCs w:val="24"/>
                <w:lang w:val="x-none" w:eastAsia="x-none"/>
              </w:rPr>
            </w:pPr>
            <w:r w:rsidRPr="00E74196">
              <w:rPr>
                <w:rFonts w:eastAsia="Times New Roman" w:cs="Arial"/>
                <w:szCs w:val="24"/>
                <w:lang w:val="x-none" w:eastAsia="x-none"/>
              </w:rPr>
              <w:t>Provide services that are culturally and linguistically appropriate;</w:t>
            </w:r>
          </w:p>
          <w:p w:rsidR="00BB238C" w:rsidRPr="00E74196" w:rsidRDefault="00BB238C" w:rsidP="00BB238C">
            <w:pPr>
              <w:pStyle w:val="ListParagraph"/>
              <w:widowControl w:val="0"/>
              <w:numPr>
                <w:ilvl w:val="0"/>
                <w:numId w:val="90"/>
              </w:numPr>
              <w:tabs>
                <w:tab w:val="left" w:pos="867"/>
              </w:tabs>
              <w:kinsoku w:val="0"/>
              <w:overflowPunct w:val="0"/>
              <w:autoSpaceDE w:val="0"/>
              <w:autoSpaceDN w:val="0"/>
              <w:adjustRightInd w:val="0"/>
              <w:spacing w:line="268" w:lineRule="exact"/>
              <w:rPr>
                <w:rFonts w:eastAsia="Times New Roman" w:cs="Arial"/>
                <w:szCs w:val="24"/>
                <w:lang w:val="x-none" w:eastAsia="x-none"/>
              </w:rPr>
            </w:pPr>
            <w:r w:rsidRPr="00E74196">
              <w:rPr>
                <w:rFonts w:eastAsia="Times New Roman" w:cs="Arial"/>
                <w:szCs w:val="24"/>
                <w:lang w:val="x-none" w:eastAsia="x-none"/>
              </w:rPr>
              <w:t>Meet federal and state requirements regarding safety, sanitation, access, public health, and</w:t>
            </w:r>
            <w:r w:rsidRPr="00E74196">
              <w:rPr>
                <w:rFonts w:eastAsia="Times New Roman" w:cs="Arial"/>
                <w:w w:val="99"/>
                <w:szCs w:val="24"/>
                <w:lang w:val="x-none" w:eastAsia="x-none"/>
              </w:rPr>
              <w:t xml:space="preserve"> </w:t>
            </w:r>
            <w:r w:rsidRPr="00E74196">
              <w:rPr>
                <w:rFonts w:eastAsia="Times New Roman" w:cs="Arial"/>
                <w:szCs w:val="24"/>
                <w:lang w:val="x-none" w:eastAsia="x-none"/>
              </w:rPr>
              <w:t>infection control;</w:t>
            </w:r>
          </w:p>
          <w:p w:rsidR="00BB238C" w:rsidRPr="00E74196" w:rsidRDefault="00BB238C" w:rsidP="00BB238C">
            <w:pPr>
              <w:pStyle w:val="ListParagraph"/>
              <w:widowControl w:val="0"/>
              <w:numPr>
                <w:ilvl w:val="0"/>
                <w:numId w:val="90"/>
              </w:numPr>
              <w:tabs>
                <w:tab w:val="left" w:pos="867"/>
              </w:tabs>
              <w:kinsoku w:val="0"/>
              <w:overflowPunct w:val="0"/>
              <w:autoSpaceDE w:val="0"/>
              <w:autoSpaceDN w:val="0"/>
              <w:adjustRightInd w:val="0"/>
              <w:spacing w:line="268" w:lineRule="exact"/>
              <w:rPr>
                <w:rFonts w:eastAsia="Times New Roman" w:cs="Arial"/>
                <w:szCs w:val="24"/>
                <w:lang w:val="x-none" w:eastAsia="x-none"/>
              </w:rPr>
            </w:pPr>
            <w:r w:rsidRPr="00E74196">
              <w:rPr>
                <w:rFonts w:eastAsia="Times New Roman" w:cs="Arial"/>
                <w:szCs w:val="24"/>
                <w:lang w:val="x-none" w:eastAsia="x-none"/>
              </w:rPr>
              <w:t>Guarantee  consumer  confidentiality,  protect  consumer autonomy,  and  ensure  a  fair  process  of</w:t>
            </w:r>
            <w:r w:rsidRPr="00E74196">
              <w:rPr>
                <w:rFonts w:eastAsia="Times New Roman" w:cs="Arial"/>
                <w:w w:val="99"/>
                <w:szCs w:val="24"/>
                <w:lang w:val="x-none" w:eastAsia="x-none"/>
              </w:rPr>
              <w:t xml:space="preserve"> </w:t>
            </w:r>
            <w:r w:rsidRPr="00E74196">
              <w:rPr>
                <w:rFonts w:eastAsia="Times New Roman" w:cs="Arial"/>
                <w:szCs w:val="24"/>
                <w:lang w:val="x-none" w:eastAsia="x-none"/>
              </w:rPr>
              <w:t>grievance review and advocacy;</w:t>
            </w:r>
          </w:p>
          <w:p w:rsidR="00BB238C" w:rsidRPr="00E74196" w:rsidRDefault="00BB238C" w:rsidP="00BB238C">
            <w:pPr>
              <w:pStyle w:val="ListParagraph"/>
              <w:widowControl w:val="0"/>
              <w:numPr>
                <w:ilvl w:val="0"/>
                <w:numId w:val="90"/>
              </w:numPr>
              <w:tabs>
                <w:tab w:val="left" w:pos="867"/>
              </w:tabs>
              <w:kinsoku w:val="0"/>
              <w:overflowPunct w:val="0"/>
              <w:autoSpaceDE w:val="0"/>
              <w:autoSpaceDN w:val="0"/>
              <w:adjustRightInd w:val="0"/>
              <w:rPr>
                <w:rFonts w:eastAsia="Times New Roman" w:cs="Arial"/>
                <w:szCs w:val="24"/>
                <w:lang w:val="x-none" w:eastAsia="x-none"/>
              </w:rPr>
            </w:pPr>
            <w:r w:rsidRPr="00E74196">
              <w:rPr>
                <w:rFonts w:eastAsia="Times New Roman" w:cs="Arial"/>
                <w:szCs w:val="24"/>
                <w:lang w:val="x-none" w:eastAsia="x-none"/>
              </w:rPr>
              <w:t>Comprehensively  inform consumers  of  services,  establish  consumer  eligibility,  and  collect  consumer</w:t>
            </w:r>
            <w:r w:rsidRPr="00E74196">
              <w:rPr>
                <w:rFonts w:eastAsia="Times New Roman" w:cs="Arial"/>
                <w:w w:val="99"/>
                <w:szCs w:val="24"/>
                <w:lang w:val="x-none" w:eastAsia="x-none"/>
              </w:rPr>
              <w:t xml:space="preserve"> </w:t>
            </w:r>
            <w:r w:rsidRPr="00E74196">
              <w:rPr>
                <w:rFonts w:eastAsia="Times New Roman" w:cs="Arial"/>
                <w:szCs w:val="24"/>
                <w:lang w:val="x-none" w:eastAsia="x-none"/>
              </w:rPr>
              <w:t>information through an intake process;</w:t>
            </w:r>
          </w:p>
          <w:p w:rsidR="00BB238C" w:rsidRPr="00E74196" w:rsidRDefault="00BB238C" w:rsidP="00BB238C">
            <w:pPr>
              <w:pStyle w:val="ListParagraph"/>
              <w:widowControl w:val="0"/>
              <w:numPr>
                <w:ilvl w:val="0"/>
                <w:numId w:val="90"/>
              </w:numPr>
              <w:tabs>
                <w:tab w:val="left" w:pos="867"/>
              </w:tabs>
              <w:kinsoku w:val="0"/>
              <w:overflowPunct w:val="0"/>
              <w:autoSpaceDE w:val="0"/>
              <w:autoSpaceDN w:val="0"/>
              <w:adjustRightInd w:val="0"/>
              <w:rPr>
                <w:rFonts w:eastAsia="Times New Roman" w:cs="Arial"/>
                <w:szCs w:val="24"/>
                <w:lang w:val="x-none" w:eastAsia="x-none"/>
              </w:rPr>
            </w:pPr>
            <w:r w:rsidRPr="00E74196">
              <w:rPr>
                <w:rFonts w:eastAsia="Times New Roman" w:cs="Arial"/>
                <w:szCs w:val="24"/>
                <w:lang w:val="x-none" w:eastAsia="x-none"/>
              </w:rPr>
              <w:t>Effectively assess consumer needs and encourage informed and active consumer participation;</w:t>
            </w:r>
          </w:p>
          <w:p w:rsidR="00BB238C" w:rsidRPr="00E74196" w:rsidRDefault="00BB238C" w:rsidP="00BB238C">
            <w:pPr>
              <w:pStyle w:val="ListParagraph"/>
              <w:widowControl w:val="0"/>
              <w:numPr>
                <w:ilvl w:val="0"/>
                <w:numId w:val="90"/>
              </w:numPr>
              <w:tabs>
                <w:tab w:val="left" w:pos="867"/>
              </w:tabs>
              <w:kinsoku w:val="0"/>
              <w:overflowPunct w:val="0"/>
              <w:autoSpaceDE w:val="0"/>
              <w:autoSpaceDN w:val="0"/>
              <w:adjustRightInd w:val="0"/>
              <w:rPr>
                <w:rFonts w:eastAsia="Times New Roman" w:cs="Arial"/>
                <w:szCs w:val="24"/>
                <w:lang w:val="x-none" w:eastAsia="x-none"/>
              </w:rPr>
            </w:pPr>
            <w:r w:rsidRPr="00E74196">
              <w:rPr>
                <w:rFonts w:eastAsia="Times New Roman" w:cs="Arial"/>
                <w:szCs w:val="24"/>
                <w:lang w:val="x-none" w:eastAsia="x-none"/>
              </w:rPr>
              <w:t>Address consumer needs effectively through coordination of care with appropriate providers and</w:t>
            </w:r>
            <w:r w:rsidRPr="00E74196">
              <w:rPr>
                <w:rFonts w:eastAsia="Times New Roman" w:cs="Arial"/>
                <w:w w:val="99"/>
                <w:szCs w:val="24"/>
                <w:lang w:val="x-none" w:eastAsia="x-none"/>
              </w:rPr>
              <w:t xml:space="preserve"> </w:t>
            </w:r>
            <w:r w:rsidRPr="00E74196">
              <w:rPr>
                <w:rFonts w:eastAsia="Times New Roman" w:cs="Arial"/>
                <w:szCs w:val="24"/>
                <w:lang w:val="x-none" w:eastAsia="x-none"/>
              </w:rPr>
              <w:t>referrals to needed services; and</w:t>
            </w:r>
          </w:p>
          <w:p w:rsidR="00BB238C" w:rsidRPr="00BB238C" w:rsidRDefault="00BB238C" w:rsidP="007C4F82">
            <w:pPr>
              <w:pStyle w:val="ListParagraph"/>
              <w:widowControl w:val="0"/>
              <w:numPr>
                <w:ilvl w:val="0"/>
                <w:numId w:val="90"/>
              </w:numPr>
              <w:tabs>
                <w:tab w:val="left" w:pos="867"/>
              </w:tabs>
              <w:kinsoku w:val="0"/>
              <w:overflowPunct w:val="0"/>
              <w:autoSpaceDE w:val="0"/>
              <w:autoSpaceDN w:val="0"/>
              <w:adjustRightInd w:val="0"/>
              <w:rPr>
                <w:rFonts w:eastAsia="Times New Roman" w:cs="Arial"/>
                <w:szCs w:val="24"/>
                <w:lang w:val="x-none" w:eastAsia="x-none"/>
              </w:rPr>
            </w:pPr>
            <w:r w:rsidRPr="00E74196">
              <w:rPr>
                <w:rFonts w:eastAsia="Times New Roman" w:cs="Arial"/>
                <w:szCs w:val="24"/>
                <w:lang w:val="x-none" w:eastAsia="x-none"/>
              </w:rPr>
              <w:t xml:space="preserve">Are accessible to all people living with HIV in the Orlando EMA (counties of </w:t>
            </w:r>
            <w:r w:rsidRPr="00E74196">
              <w:rPr>
                <w:rFonts w:eastAsia="Times New Roman" w:cs="Arial"/>
                <w:szCs w:val="24"/>
                <w:lang w:eastAsia="x-none"/>
              </w:rPr>
              <w:t>L</w:t>
            </w:r>
            <w:r w:rsidRPr="00E74196">
              <w:rPr>
                <w:rFonts w:eastAsia="Times New Roman" w:cs="Arial"/>
                <w:szCs w:val="24"/>
                <w:lang w:val="x-none" w:eastAsia="x-none"/>
              </w:rPr>
              <w:t xml:space="preserve">ake, </w:t>
            </w:r>
            <w:r w:rsidRPr="00E74196">
              <w:rPr>
                <w:rFonts w:eastAsia="Times New Roman" w:cs="Arial"/>
                <w:szCs w:val="24"/>
                <w:lang w:eastAsia="x-none"/>
              </w:rPr>
              <w:t>O</w:t>
            </w:r>
            <w:r w:rsidRPr="00E74196">
              <w:rPr>
                <w:rFonts w:eastAsia="Times New Roman" w:cs="Arial"/>
                <w:szCs w:val="24"/>
                <w:lang w:val="x-none" w:eastAsia="x-none"/>
              </w:rPr>
              <w:t>range, Osceola and Seminole).</w:t>
            </w:r>
          </w:p>
        </w:tc>
      </w:tr>
    </w:tbl>
    <w:p w:rsidR="00DB0CB6" w:rsidRDefault="00DB0CB6" w:rsidP="00DB0CB6">
      <w:pPr>
        <w:spacing w:after="0"/>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67373" w:rsidRPr="00267373" w:rsidTr="00B4515A">
        <w:tc>
          <w:tcPr>
            <w:tcW w:w="9576" w:type="dxa"/>
            <w:tcBorders>
              <w:top w:val="single" w:sz="4" w:space="0" w:color="auto"/>
              <w:bottom w:val="single" w:sz="4" w:space="0" w:color="auto"/>
            </w:tcBorders>
          </w:tcPr>
          <w:p w:rsidR="00267373" w:rsidRPr="0069155E" w:rsidRDefault="0069155E" w:rsidP="0069155E">
            <w:pPr>
              <w:pStyle w:val="Heading3"/>
              <w:spacing w:before="0"/>
              <w:outlineLvl w:val="2"/>
              <w:rPr>
                <w:sz w:val="28"/>
              </w:rPr>
            </w:pPr>
            <w:bookmarkStart w:id="6" w:name="_Toc489280858"/>
            <w:r>
              <w:rPr>
                <w:sz w:val="28"/>
              </w:rPr>
              <w:t>1.0</w:t>
            </w:r>
            <w:r w:rsidR="00267373" w:rsidRPr="0069155E">
              <w:rPr>
                <w:sz w:val="28"/>
              </w:rPr>
              <w:t xml:space="preserve"> Agency Policies and Procedures</w:t>
            </w:r>
            <w:bookmarkEnd w:id="6"/>
          </w:p>
        </w:tc>
      </w:tr>
    </w:tbl>
    <w:p w:rsidR="00DB0CB6" w:rsidRDefault="00DB0CB6" w:rsidP="00DB0CB6">
      <w:pPr>
        <w:spacing w:after="0"/>
      </w:pPr>
    </w:p>
    <w:tbl>
      <w:tblPr>
        <w:tblStyle w:val="TableGrid"/>
        <w:tblW w:w="0" w:type="auto"/>
        <w:tblLook w:val="04A0" w:firstRow="1" w:lastRow="0" w:firstColumn="1" w:lastColumn="0" w:noHBand="0" w:noVBand="1"/>
      </w:tblPr>
      <w:tblGrid>
        <w:gridCol w:w="9576"/>
      </w:tblGrid>
      <w:tr w:rsidR="00AC0614" w:rsidTr="00AC0614">
        <w:tc>
          <w:tcPr>
            <w:tcW w:w="9576" w:type="dxa"/>
            <w:tcBorders>
              <w:top w:val="nil"/>
              <w:left w:val="nil"/>
              <w:bottom w:val="nil"/>
              <w:right w:val="nil"/>
            </w:tcBorders>
          </w:tcPr>
          <w:p w:rsidR="00AC0614" w:rsidRPr="002032BD" w:rsidRDefault="00AC0614" w:rsidP="00B32A01">
            <w:pPr>
              <w:rPr>
                <w:rFonts w:eastAsia="Times New Roman" w:cs="Arial"/>
                <w:szCs w:val="24"/>
              </w:rPr>
            </w:pPr>
            <w:r w:rsidRPr="002032BD">
              <w:rPr>
                <w:rFonts w:eastAsia="Times New Roman" w:cs="Arial"/>
                <w:szCs w:val="24"/>
              </w:rPr>
              <w:t>The objectives of the standards for agency policies and procedures are to:</w:t>
            </w:r>
          </w:p>
          <w:p w:rsidR="00AC0614" w:rsidRPr="002032BD" w:rsidRDefault="00AC0614" w:rsidP="001B1B43">
            <w:pPr>
              <w:pStyle w:val="ListParagraph"/>
              <w:numPr>
                <w:ilvl w:val="0"/>
                <w:numId w:val="30"/>
              </w:numPr>
              <w:rPr>
                <w:rFonts w:eastAsia="Times New Roman" w:cs="Arial"/>
                <w:szCs w:val="24"/>
              </w:rPr>
            </w:pPr>
            <w:r w:rsidRPr="002032BD">
              <w:rPr>
                <w:rFonts w:eastAsia="Times New Roman" w:cs="Arial"/>
                <w:szCs w:val="24"/>
              </w:rPr>
              <w:t>Guarantee consumer’s confidentiality, ensure quality care, and provide a fair process to address consumers’ grievances;</w:t>
            </w:r>
          </w:p>
          <w:p w:rsidR="00AC0614" w:rsidRPr="002032BD" w:rsidRDefault="00AC0614" w:rsidP="001B1B43">
            <w:pPr>
              <w:pStyle w:val="ListParagraph"/>
              <w:numPr>
                <w:ilvl w:val="0"/>
                <w:numId w:val="30"/>
              </w:numPr>
              <w:rPr>
                <w:rFonts w:eastAsia="Times New Roman" w:cs="Arial"/>
                <w:szCs w:val="24"/>
              </w:rPr>
            </w:pPr>
            <w:r w:rsidRPr="002032BD">
              <w:rPr>
                <w:rFonts w:eastAsia="Times New Roman" w:cs="Arial"/>
                <w:szCs w:val="24"/>
              </w:rPr>
              <w:t>Ensure consumers and staff safety and well</w:t>
            </w:r>
            <w:r w:rsidRPr="002032BD">
              <w:rPr>
                <w:rFonts w:ascii="Cambria Math" w:eastAsia="Times New Roman" w:hAnsi="Cambria Math" w:cs="Cambria Math"/>
                <w:szCs w:val="24"/>
              </w:rPr>
              <w:t>‐</w:t>
            </w:r>
            <w:r w:rsidRPr="002032BD">
              <w:rPr>
                <w:rFonts w:eastAsia="Times New Roman" w:cs="Arial"/>
                <w:szCs w:val="24"/>
              </w:rPr>
              <w:t>being;</w:t>
            </w:r>
          </w:p>
          <w:p w:rsidR="00AC0614" w:rsidRPr="002032BD" w:rsidRDefault="00AC0614" w:rsidP="001B1B43">
            <w:pPr>
              <w:pStyle w:val="ListParagraph"/>
              <w:numPr>
                <w:ilvl w:val="0"/>
                <w:numId w:val="30"/>
              </w:numPr>
              <w:rPr>
                <w:rFonts w:eastAsia="Times New Roman" w:cs="Arial"/>
                <w:szCs w:val="24"/>
              </w:rPr>
            </w:pPr>
            <w:r w:rsidRPr="002032BD">
              <w:rPr>
                <w:rFonts w:eastAsia="Times New Roman" w:cs="Arial"/>
                <w:szCs w:val="24"/>
              </w:rPr>
              <w:t>Facilitate communication and service delivery; and</w:t>
            </w:r>
          </w:p>
          <w:p w:rsidR="00AC0614" w:rsidRPr="002032BD" w:rsidRDefault="00AC0614" w:rsidP="001B1B43">
            <w:pPr>
              <w:pStyle w:val="ListParagraph"/>
              <w:numPr>
                <w:ilvl w:val="0"/>
                <w:numId w:val="30"/>
              </w:numPr>
              <w:rPr>
                <w:rFonts w:eastAsia="Times New Roman" w:cs="Arial"/>
                <w:szCs w:val="24"/>
              </w:rPr>
            </w:pPr>
            <w:r w:rsidRPr="002032BD">
              <w:rPr>
                <w:rFonts w:eastAsia="Times New Roman" w:cs="Arial"/>
                <w:szCs w:val="24"/>
              </w:rPr>
              <w:t>Ensure that agencies comply with appropriate state and federal regulations.</w:t>
            </w:r>
          </w:p>
          <w:p w:rsidR="00AC0614" w:rsidRPr="002032BD" w:rsidRDefault="00AC0614" w:rsidP="00AC0614">
            <w:pPr>
              <w:spacing w:before="240"/>
              <w:rPr>
                <w:rFonts w:eastAsia="Times New Roman" w:cs="Arial"/>
                <w:szCs w:val="24"/>
              </w:rPr>
            </w:pPr>
            <w:r w:rsidRPr="002032BD">
              <w:rPr>
                <w:rFonts w:eastAsia="Times New Roman" w:cs="Arial"/>
                <w:szCs w:val="24"/>
              </w:rPr>
              <w:t>All provider agencies offering services must have written policies that address consumer confidentiality, release of information, consumer grievance procedures, and eligibility.</w:t>
            </w:r>
          </w:p>
          <w:p w:rsidR="00AC0614" w:rsidRDefault="00AC0614" w:rsidP="00AC0614">
            <w:pPr>
              <w:spacing w:before="240"/>
              <w:rPr>
                <w:rFonts w:eastAsia="Times New Roman" w:cs="Arial"/>
                <w:szCs w:val="24"/>
              </w:rPr>
            </w:pPr>
            <w:r w:rsidRPr="002032BD">
              <w:rPr>
                <w:rFonts w:eastAsia="Times New Roman" w:cs="Arial"/>
                <w:szCs w:val="24"/>
              </w:rPr>
              <w:t>Confidentiality assures protection of release of information regarding HIV status, behavioral risk factors, or use of services. Each agency will have a consumer confidentiality policy that is in accordance with state and federal laws. As part of the confidentiality policy, all agencies will provide a “</w:t>
            </w:r>
            <w:r w:rsidRPr="002032BD">
              <w:rPr>
                <w:rFonts w:eastAsia="Times New Roman" w:cs="Arial"/>
                <w:b/>
                <w:i/>
                <w:szCs w:val="24"/>
              </w:rPr>
              <w:t>Consent for Release of Medical Information Form</w:t>
            </w:r>
            <w:r w:rsidRPr="002032BD">
              <w:rPr>
                <w:rFonts w:eastAsia="Times New Roman" w:cs="Arial"/>
                <w:szCs w:val="24"/>
              </w:rPr>
              <w:t xml:space="preserve">” describing under what circumstances consumer information can be released (name of agency/individual with whom information will be shared, information to be shared, duration of the release consent, and consumer signature). Consumers </w:t>
            </w:r>
            <w:r w:rsidRPr="002032BD">
              <w:rPr>
                <w:rFonts w:eastAsia="Times New Roman" w:cs="Arial"/>
                <w:szCs w:val="24"/>
              </w:rPr>
              <w:lastRenderedPageBreak/>
              <w:t>shall be informed that permission for release of information can be rescinded at any time either verbally or in writing. Releases must be dated and are considered no longer binding after one year. A signed consent must be obtained from the consumer granting permission to Ryan White Part A monitoring/evaluation/quality staff to review consumer’s records. For agencies and information covered by the Health Insurance Portability and Accountability Act (HIPAA), the release of information form must be a HIPAA</w:t>
            </w:r>
            <w:r w:rsidRPr="002032BD">
              <w:rPr>
                <w:rFonts w:ascii="Cambria Math" w:eastAsia="Times New Roman" w:hAnsi="Cambria Math" w:cs="Cambria Math"/>
                <w:szCs w:val="24"/>
              </w:rPr>
              <w:t>‐</w:t>
            </w:r>
            <w:r w:rsidRPr="002032BD">
              <w:rPr>
                <w:rFonts w:eastAsia="Times New Roman" w:cs="Arial"/>
                <w:szCs w:val="24"/>
              </w:rPr>
              <w:t>compliant disclosure authorization as approved by the Ryan White Part A Office.</w:t>
            </w:r>
          </w:p>
          <w:p w:rsidR="00AC0614" w:rsidRDefault="00AC0614" w:rsidP="00AC0614">
            <w:pPr>
              <w:spacing w:before="240"/>
              <w:ind w:right="54"/>
              <w:rPr>
                <w:rFonts w:eastAsia="Times New Roman" w:cs="Arial"/>
                <w:szCs w:val="24"/>
              </w:rPr>
            </w:pPr>
            <w:r w:rsidRPr="002032BD">
              <w:rPr>
                <w:rFonts w:eastAsia="Times New Roman" w:cs="Arial"/>
                <w:szCs w:val="24"/>
              </w:rPr>
              <w:t>A provider agency grievance procedure ensures that consumers have recourse if they feel they are being treated in an unfair manner or do not feel they are receiving quality services. Each agency will have a policy identifying the steps a consumer should follow to file a grievance and how the grievance will be handled. The final step of the grievance policy will include information on how the consumers may appeal the decision if the consumer’s grievance is not settled to his/her satisfaction within the provider agency. The Ryan White Part A approved grievance form should be utilized by all service provides in the network.</w:t>
            </w:r>
          </w:p>
        </w:tc>
      </w:tr>
    </w:tbl>
    <w:p w:rsidR="001F30B2" w:rsidRDefault="001F30B2" w:rsidP="002032BD">
      <w:pPr>
        <w:spacing w:after="0" w:line="240" w:lineRule="auto"/>
        <w:ind w:right="54"/>
        <w:jc w:val="both"/>
        <w:rPr>
          <w:rFonts w:ascii="Arial" w:eastAsia="Calibri" w:hAnsi="Arial" w:cs="Times New Roman"/>
          <w:bCs/>
          <w:sz w:val="24"/>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158"/>
        <w:gridCol w:w="738"/>
        <w:gridCol w:w="3942"/>
        <w:gridCol w:w="18"/>
      </w:tblGrid>
      <w:tr w:rsidR="001F30B2" w:rsidTr="009C0F7D">
        <w:trPr>
          <w:gridAfter w:val="1"/>
          <w:wAfter w:w="18" w:type="dxa"/>
        </w:trPr>
        <w:tc>
          <w:tcPr>
            <w:tcW w:w="9558" w:type="dxa"/>
            <w:gridSpan w:val="4"/>
            <w:shd w:val="clear" w:color="auto" w:fill="17365D" w:themeFill="text2" w:themeFillShade="BF"/>
          </w:tcPr>
          <w:p w:rsidR="001F30B2" w:rsidRPr="0069155E" w:rsidRDefault="001F30B2" w:rsidP="0069155E">
            <w:pPr>
              <w:pStyle w:val="Heading4"/>
              <w:spacing w:before="0"/>
              <w:outlineLvl w:val="3"/>
            </w:pPr>
            <w:r w:rsidRPr="0069155E">
              <w:rPr>
                <w:color w:val="FFFFFF" w:themeColor="background1"/>
                <w:sz w:val="28"/>
              </w:rPr>
              <w:t>1.0 Agency Policies and Procedures</w:t>
            </w:r>
          </w:p>
        </w:tc>
      </w:tr>
      <w:tr w:rsidR="001F30B2" w:rsidTr="009C0F7D">
        <w:trPr>
          <w:gridAfter w:val="1"/>
          <w:wAfter w:w="18" w:type="dxa"/>
        </w:trPr>
        <w:tc>
          <w:tcPr>
            <w:tcW w:w="720" w:type="dxa"/>
          </w:tcPr>
          <w:p w:rsidR="001F30B2" w:rsidRDefault="001F30B2" w:rsidP="00267373">
            <w:pPr>
              <w:rPr>
                <w:bCs w:val="0"/>
              </w:rPr>
            </w:pPr>
          </w:p>
        </w:tc>
        <w:tc>
          <w:tcPr>
            <w:tcW w:w="4158" w:type="dxa"/>
          </w:tcPr>
          <w:p w:rsidR="001F30B2" w:rsidRDefault="001F30B2" w:rsidP="00267373">
            <w:pPr>
              <w:rPr>
                <w:bCs w:val="0"/>
              </w:rPr>
            </w:pPr>
          </w:p>
        </w:tc>
        <w:tc>
          <w:tcPr>
            <w:tcW w:w="738" w:type="dxa"/>
          </w:tcPr>
          <w:p w:rsidR="001F30B2" w:rsidRDefault="001F30B2" w:rsidP="00267373">
            <w:pPr>
              <w:rPr>
                <w:bCs w:val="0"/>
              </w:rPr>
            </w:pPr>
          </w:p>
        </w:tc>
        <w:tc>
          <w:tcPr>
            <w:tcW w:w="3942" w:type="dxa"/>
          </w:tcPr>
          <w:p w:rsidR="001F30B2" w:rsidRDefault="001F30B2" w:rsidP="00267373">
            <w:pPr>
              <w:rPr>
                <w:bCs w:val="0"/>
              </w:rPr>
            </w:pPr>
          </w:p>
        </w:tc>
      </w:tr>
      <w:tr w:rsidR="001F30B2" w:rsidTr="009C0F7D">
        <w:trPr>
          <w:gridAfter w:val="1"/>
          <w:wAfter w:w="18" w:type="dxa"/>
        </w:trPr>
        <w:tc>
          <w:tcPr>
            <w:tcW w:w="4878" w:type="dxa"/>
            <w:gridSpan w:val="2"/>
            <w:tcBorders>
              <w:bottom w:val="single" w:sz="12" w:space="0" w:color="17365D" w:themeColor="text2" w:themeShade="BF"/>
              <w:right w:val="single" w:sz="12" w:space="0" w:color="17365D" w:themeColor="text2" w:themeShade="BF"/>
            </w:tcBorders>
            <w:vAlign w:val="center"/>
          </w:tcPr>
          <w:p w:rsidR="001F30B2" w:rsidRPr="006E7960" w:rsidRDefault="001F30B2" w:rsidP="001F30B2">
            <w:pPr>
              <w:jc w:val="center"/>
              <w:rPr>
                <w:rStyle w:val="BookTitle"/>
              </w:rPr>
            </w:pPr>
            <w:r w:rsidRPr="006E7960">
              <w:rPr>
                <w:rStyle w:val="BookTitle"/>
              </w:rPr>
              <w:t>Standards</w:t>
            </w:r>
          </w:p>
        </w:tc>
        <w:tc>
          <w:tcPr>
            <w:tcW w:w="4680" w:type="dxa"/>
            <w:gridSpan w:val="2"/>
            <w:tcBorders>
              <w:left w:val="single" w:sz="12" w:space="0" w:color="17365D" w:themeColor="text2" w:themeShade="BF"/>
              <w:bottom w:val="single" w:sz="12" w:space="0" w:color="17365D" w:themeColor="text2" w:themeShade="BF"/>
            </w:tcBorders>
            <w:vAlign w:val="center"/>
          </w:tcPr>
          <w:p w:rsidR="001F30B2" w:rsidRPr="006E7960" w:rsidRDefault="001F30B2" w:rsidP="001F30B2">
            <w:pPr>
              <w:jc w:val="center"/>
              <w:rPr>
                <w:rStyle w:val="BookTitle"/>
              </w:rPr>
            </w:pPr>
            <w:r w:rsidRPr="006E7960">
              <w:rPr>
                <w:rStyle w:val="BookTitle"/>
              </w:rPr>
              <w:t>Measures</w:t>
            </w:r>
          </w:p>
        </w:tc>
      </w:tr>
      <w:tr w:rsidR="001F30B2"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1F30B2" w:rsidRDefault="001F30B2" w:rsidP="00B32A01">
            <w:pPr>
              <w:jc w:val="left"/>
              <w:rPr>
                <w:bCs w:val="0"/>
              </w:rPr>
            </w:pPr>
            <w:r>
              <w:rPr>
                <w:bCs w:val="0"/>
              </w:rPr>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1F30B2" w:rsidRDefault="001F30B2" w:rsidP="00B32A01">
            <w:pPr>
              <w:jc w:val="left"/>
              <w:rPr>
                <w:bCs w:val="0"/>
              </w:rPr>
            </w:pPr>
            <w:r>
              <w:rPr>
                <w:bCs w:val="0"/>
              </w:rPr>
              <w:t>Consumer confidentiality policy</w:t>
            </w:r>
            <w:r w:rsidR="00FF7F7F">
              <w:rPr>
                <w:bCs w:val="0"/>
              </w:rPr>
              <w:t>.</w:t>
            </w: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1F30B2" w:rsidRDefault="001F30B2" w:rsidP="00B32A01">
            <w:pPr>
              <w:jc w:val="left"/>
              <w:rPr>
                <w:bCs w:val="0"/>
              </w:rPr>
            </w:pPr>
            <w:r>
              <w:rPr>
                <w:bCs w:val="0"/>
              </w:rPr>
              <w:t>1.1</w:t>
            </w:r>
          </w:p>
        </w:tc>
        <w:tc>
          <w:tcPr>
            <w:tcW w:w="3942" w:type="dxa"/>
            <w:tcBorders>
              <w:top w:val="single" w:sz="12" w:space="0" w:color="17365D" w:themeColor="text2" w:themeShade="BF"/>
              <w:bottom w:val="single" w:sz="12" w:space="0" w:color="17365D" w:themeColor="text2" w:themeShade="BF"/>
            </w:tcBorders>
          </w:tcPr>
          <w:p w:rsidR="00B4515A" w:rsidRDefault="001F30B2" w:rsidP="00B32A01">
            <w:pPr>
              <w:jc w:val="left"/>
              <w:rPr>
                <w:bCs w:val="0"/>
              </w:rPr>
            </w:pPr>
            <w:r>
              <w:rPr>
                <w:bCs w:val="0"/>
              </w:rPr>
              <w:t>Written policy on file at provider agency</w:t>
            </w:r>
            <w:r w:rsidR="00FF7F7F">
              <w:rPr>
                <w:bCs w:val="0"/>
              </w:rPr>
              <w:t>.</w:t>
            </w:r>
          </w:p>
          <w:p w:rsidR="00B32A01" w:rsidRDefault="00B32A01" w:rsidP="00B32A01">
            <w:pPr>
              <w:jc w:val="left"/>
              <w:rPr>
                <w:bCs w:val="0"/>
              </w:rPr>
            </w:pPr>
          </w:p>
        </w:tc>
      </w:tr>
      <w:tr w:rsidR="001F30B2"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1F30B2" w:rsidRDefault="001F30B2" w:rsidP="00B32A01">
            <w:pPr>
              <w:spacing w:after="100" w:afterAutospacing="1"/>
              <w:jc w:val="left"/>
              <w:rPr>
                <w:bCs w:val="0"/>
              </w:rPr>
            </w:pPr>
            <w:r>
              <w:rPr>
                <w:bCs w:val="0"/>
              </w:rPr>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1F30B2" w:rsidRDefault="001F30B2" w:rsidP="00B32A01">
            <w:pPr>
              <w:spacing w:after="100" w:afterAutospacing="1"/>
              <w:jc w:val="left"/>
              <w:rPr>
                <w:bCs w:val="0"/>
              </w:rPr>
            </w:pPr>
            <w:r>
              <w:rPr>
                <w:bCs w:val="0"/>
              </w:rPr>
              <w:t>Grievance procedure</w:t>
            </w:r>
            <w:r w:rsidR="00FF7F7F">
              <w:rPr>
                <w:bCs w:val="0"/>
              </w:rPr>
              <w:t>.</w:t>
            </w: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1F30B2" w:rsidRDefault="001F30B2" w:rsidP="00B32A01">
            <w:pPr>
              <w:spacing w:after="100" w:afterAutospacing="1"/>
              <w:jc w:val="left"/>
              <w:rPr>
                <w:bCs w:val="0"/>
              </w:rPr>
            </w:pPr>
            <w:r>
              <w:rPr>
                <w:bCs w:val="0"/>
              </w:rPr>
              <w:t>1.2</w:t>
            </w:r>
          </w:p>
        </w:tc>
        <w:tc>
          <w:tcPr>
            <w:tcW w:w="3942" w:type="dxa"/>
            <w:tcBorders>
              <w:top w:val="single" w:sz="12" w:space="0" w:color="17365D" w:themeColor="text2" w:themeShade="BF"/>
              <w:bottom w:val="single" w:sz="12" w:space="0" w:color="17365D" w:themeColor="text2" w:themeShade="BF"/>
            </w:tcBorders>
          </w:tcPr>
          <w:p w:rsidR="00DE4D08" w:rsidRDefault="001F30B2" w:rsidP="00B32A01">
            <w:pPr>
              <w:jc w:val="left"/>
              <w:rPr>
                <w:bCs w:val="0"/>
              </w:rPr>
            </w:pPr>
            <w:r>
              <w:rPr>
                <w:bCs w:val="0"/>
              </w:rPr>
              <w:t>Written policy on file at provider agency</w:t>
            </w:r>
            <w:r w:rsidR="00FF7F7F">
              <w:rPr>
                <w:bCs w:val="0"/>
              </w:rPr>
              <w:t>.</w:t>
            </w:r>
          </w:p>
          <w:p w:rsidR="00B32A01" w:rsidRDefault="00B32A01" w:rsidP="00B32A01">
            <w:pPr>
              <w:jc w:val="left"/>
              <w:rPr>
                <w:bCs w:val="0"/>
              </w:rPr>
            </w:pPr>
          </w:p>
        </w:tc>
      </w:tr>
      <w:tr w:rsidR="001F30B2"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1F30B2" w:rsidRDefault="001F30B2" w:rsidP="00B32A01">
            <w:pPr>
              <w:spacing w:after="100" w:afterAutospacing="1"/>
              <w:jc w:val="left"/>
              <w:rPr>
                <w:bCs w:val="0"/>
              </w:rPr>
            </w:pPr>
            <w:r>
              <w:rPr>
                <w:bCs w:val="0"/>
              </w:rPr>
              <w:t>1.3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1F30B2" w:rsidP="00B32A01">
            <w:pPr>
              <w:jc w:val="left"/>
              <w:rPr>
                <w:bCs w:val="0"/>
              </w:rPr>
            </w:pPr>
            <w:r>
              <w:rPr>
                <w:bCs w:val="0"/>
              </w:rPr>
              <w:t>Agency has eligibility requirements for services, in written form, available upon request</w:t>
            </w:r>
            <w:r w:rsidR="00FF7F7F">
              <w:rPr>
                <w:bCs w:val="0"/>
              </w:rPr>
              <w:t>.</w:t>
            </w:r>
          </w:p>
          <w:p w:rsidR="00B32A01" w:rsidRDefault="00B32A01" w:rsidP="00B32A01">
            <w:pPr>
              <w:jc w:val="left"/>
              <w:rPr>
                <w:bCs w:val="0"/>
              </w:rPr>
            </w:pP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1F30B2" w:rsidRDefault="001F30B2" w:rsidP="00B32A01">
            <w:pPr>
              <w:spacing w:after="100" w:afterAutospacing="1"/>
              <w:jc w:val="left"/>
              <w:rPr>
                <w:bCs w:val="0"/>
              </w:rPr>
            </w:pPr>
            <w:r>
              <w:rPr>
                <w:bCs w:val="0"/>
              </w:rPr>
              <w:t>1.3</w:t>
            </w:r>
          </w:p>
        </w:tc>
        <w:tc>
          <w:tcPr>
            <w:tcW w:w="3942" w:type="dxa"/>
            <w:tcBorders>
              <w:top w:val="single" w:sz="12" w:space="0" w:color="17365D" w:themeColor="text2" w:themeShade="BF"/>
              <w:bottom w:val="single" w:sz="12" w:space="0" w:color="17365D" w:themeColor="text2" w:themeShade="BF"/>
            </w:tcBorders>
          </w:tcPr>
          <w:p w:rsidR="001F30B2" w:rsidRDefault="00A01B1D" w:rsidP="00B32A01">
            <w:pPr>
              <w:spacing w:after="100" w:afterAutospacing="1"/>
              <w:jc w:val="left"/>
              <w:rPr>
                <w:bCs w:val="0"/>
              </w:rPr>
            </w:pPr>
            <w:r>
              <w:rPr>
                <w:bCs w:val="0"/>
              </w:rPr>
              <w:t>Written policy on file at provider agency</w:t>
            </w:r>
            <w:r w:rsidR="00FF7F7F">
              <w:rPr>
                <w:bCs w:val="0"/>
              </w:rPr>
              <w:t>.</w:t>
            </w:r>
          </w:p>
        </w:tc>
      </w:tr>
      <w:tr w:rsidR="00A01B1D"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A01B1D" w:rsidRDefault="00A01B1D" w:rsidP="00B32A01">
            <w:pPr>
              <w:spacing w:after="100" w:afterAutospacing="1"/>
              <w:jc w:val="left"/>
              <w:rPr>
                <w:bCs w:val="0"/>
              </w:rPr>
            </w:pPr>
            <w:r>
              <w:rPr>
                <w:bCs w:val="0"/>
              </w:rPr>
              <w:t>1.4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01B1D" w:rsidRDefault="00A01B1D" w:rsidP="00B32A01">
            <w:pPr>
              <w:spacing w:after="100" w:afterAutospacing="1"/>
              <w:jc w:val="left"/>
              <w:rPr>
                <w:bCs w:val="0"/>
              </w:rPr>
            </w:pPr>
            <w:r>
              <w:rPr>
                <w:bCs w:val="0"/>
              </w:rPr>
              <w:t>A complete file for each consumer exist</w:t>
            </w:r>
            <w:r w:rsidR="00A4181F">
              <w:rPr>
                <w:bCs w:val="0"/>
              </w:rPr>
              <w:t xml:space="preserve">s. </w:t>
            </w:r>
            <w:r w:rsidR="00CD2894">
              <w:rPr>
                <w:bCs w:val="0"/>
              </w:rPr>
              <w:t>A</w:t>
            </w:r>
            <w:r>
              <w:rPr>
                <w:bCs w:val="0"/>
              </w:rPr>
              <w:t>ll consumer files are stored in a secure and confidential location, and electronic consumer files are protected from unauthorized use</w:t>
            </w:r>
            <w:r w:rsidR="00FF7F7F">
              <w:rPr>
                <w:bCs w:val="0"/>
              </w:rPr>
              <w:t>.</w:t>
            </w: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A01B1D" w:rsidRDefault="00A01B1D" w:rsidP="00B32A01">
            <w:pPr>
              <w:spacing w:after="100" w:afterAutospacing="1"/>
              <w:jc w:val="left"/>
              <w:rPr>
                <w:bCs w:val="0"/>
              </w:rPr>
            </w:pPr>
            <w:r>
              <w:rPr>
                <w:bCs w:val="0"/>
              </w:rPr>
              <w:t>1.4</w:t>
            </w:r>
          </w:p>
        </w:tc>
        <w:tc>
          <w:tcPr>
            <w:tcW w:w="3942" w:type="dxa"/>
            <w:tcBorders>
              <w:top w:val="single" w:sz="12" w:space="0" w:color="17365D" w:themeColor="text2" w:themeShade="BF"/>
              <w:bottom w:val="single" w:sz="12" w:space="0" w:color="17365D" w:themeColor="text2" w:themeShade="BF"/>
            </w:tcBorders>
          </w:tcPr>
          <w:p w:rsidR="00DE4D08" w:rsidRDefault="002032BD" w:rsidP="00B32A01">
            <w:pPr>
              <w:rPr>
                <w:rFonts w:cs="Arial"/>
              </w:rPr>
            </w:pPr>
            <w:r w:rsidRPr="000B5B66">
              <w:rPr>
                <w:rFonts w:cs="Arial"/>
              </w:rPr>
              <w:t>Files stored in a locked file or cabinet with access limited to appropriate personnel. Electronic files are password protected with access limited to appropriate personnel. Paper copies of all required forms that must be signed by the c</w:t>
            </w:r>
            <w:r>
              <w:rPr>
                <w:rFonts w:cs="Arial"/>
              </w:rPr>
              <w:t>onsumer</w:t>
            </w:r>
            <w:r w:rsidRPr="000B5B66">
              <w:rPr>
                <w:rFonts w:cs="Arial"/>
              </w:rPr>
              <w:t xml:space="preserve"> and/or provider are in every c</w:t>
            </w:r>
            <w:r>
              <w:rPr>
                <w:rFonts w:cs="Arial"/>
              </w:rPr>
              <w:t>onsumer</w:t>
            </w:r>
            <w:r w:rsidRPr="000B5B66">
              <w:rPr>
                <w:rFonts w:cs="Arial"/>
              </w:rPr>
              <w:t>'s file</w:t>
            </w:r>
            <w:r w:rsidR="00DE4D08">
              <w:rPr>
                <w:rFonts w:cs="Arial"/>
              </w:rPr>
              <w:t>.</w:t>
            </w:r>
          </w:p>
          <w:p w:rsidR="00B32A01" w:rsidRDefault="00B32A01" w:rsidP="00B32A01">
            <w:pPr>
              <w:rPr>
                <w:bCs w:val="0"/>
              </w:rPr>
            </w:pPr>
          </w:p>
        </w:tc>
      </w:tr>
      <w:tr w:rsidR="00A01B1D"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A01B1D" w:rsidRDefault="00A01B1D" w:rsidP="00B32A01">
            <w:pPr>
              <w:spacing w:after="100" w:afterAutospacing="1"/>
              <w:jc w:val="left"/>
              <w:rPr>
                <w:bCs w:val="0"/>
              </w:rPr>
            </w:pPr>
            <w:r>
              <w:rPr>
                <w:bCs w:val="0"/>
              </w:rPr>
              <w:t>1.5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01B1D" w:rsidRDefault="00082D89" w:rsidP="00B32A01">
            <w:pPr>
              <w:spacing w:after="100" w:afterAutospacing="1"/>
              <w:jc w:val="left"/>
              <w:rPr>
                <w:rFonts w:cs="Arial"/>
              </w:rPr>
            </w:pPr>
            <w:r w:rsidRPr="00082D89">
              <w:rPr>
                <w:rFonts w:cs="Arial"/>
              </w:rPr>
              <w:t>Consumer’s consent for release of information is determined that includes on-site file review by funders.</w:t>
            </w:r>
          </w:p>
          <w:p w:rsidR="00DE4D08" w:rsidRDefault="00DE4D08" w:rsidP="00B32A01">
            <w:pPr>
              <w:spacing w:after="100" w:afterAutospacing="1"/>
              <w:jc w:val="left"/>
              <w:rPr>
                <w:bCs w:val="0"/>
              </w:rPr>
            </w:pP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A01B1D" w:rsidRDefault="00A01B1D" w:rsidP="00B32A01">
            <w:pPr>
              <w:spacing w:after="100" w:afterAutospacing="1"/>
              <w:jc w:val="left"/>
              <w:rPr>
                <w:bCs w:val="0"/>
              </w:rPr>
            </w:pPr>
            <w:r>
              <w:rPr>
                <w:bCs w:val="0"/>
              </w:rPr>
              <w:t>1.5</w:t>
            </w:r>
          </w:p>
        </w:tc>
        <w:tc>
          <w:tcPr>
            <w:tcW w:w="3942" w:type="dxa"/>
            <w:tcBorders>
              <w:top w:val="single" w:sz="12" w:space="0" w:color="17365D" w:themeColor="text2" w:themeShade="BF"/>
              <w:bottom w:val="single" w:sz="12" w:space="0" w:color="17365D" w:themeColor="text2" w:themeShade="BF"/>
            </w:tcBorders>
          </w:tcPr>
          <w:p w:rsidR="00082D89" w:rsidRPr="00082D89" w:rsidRDefault="00082D89" w:rsidP="00B32A01">
            <w:pPr>
              <w:kinsoku w:val="0"/>
              <w:overflowPunct w:val="0"/>
              <w:spacing w:after="100" w:afterAutospacing="1"/>
              <w:ind w:left="32"/>
              <w:rPr>
                <w:rFonts w:eastAsia="Times New Roman" w:cs="Arial"/>
                <w:bCs w:val="0"/>
                <w:szCs w:val="24"/>
              </w:rPr>
            </w:pPr>
            <w:r>
              <w:rPr>
                <w:rFonts w:cs="Arial"/>
              </w:rPr>
              <w:t>Assigned and dated</w:t>
            </w:r>
            <w:r w:rsidRPr="000B5B66">
              <w:rPr>
                <w:rFonts w:cs="Arial"/>
              </w:rPr>
              <w:t xml:space="preserve"> </w:t>
            </w:r>
            <w:r>
              <w:rPr>
                <w:rFonts w:cs="Arial"/>
                <w:b/>
                <w:i/>
              </w:rPr>
              <w:t xml:space="preserve">complete </w:t>
            </w:r>
            <w:r w:rsidRPr="00C602BE">
              <w:rPr>
                <w:rFonts w:cs="Arial"/>
                <w:b/>
                <w:i/>
              </w:rPr>
              <w:t>Consent</w:t>
            </w:r>
            <w:r w:rsidRPr="00C602BE">
              <w:rPr>
                <w:rFonts w:cs="Arial"/>
                <w:i/>
              </w:rPr>
              <w:t xml:space="preserve"> </w:t>
            </w:r>
            <w:r w:rsidRPr="00C602BE">
              <w:rPr>
                <w:rFonts w:cs="Arial"/>
                <w:b/>
                <w:i/>
              </w:rPr>
              <w:t>for</w:t>
            </w:r>
            <w:r w:rsidRPr="00C602BE">
              <w:rPr>
                <w:rFonts w:cs="Arial"/>
                <w:i/>
              </w:rPr>
              <w:t xml:space="preserve"> </w:t>
            </w:r>
            <w:r w:rsidRPr="00C602BE">
              <w:rPr>
                <w:rFonts w:cs="Arial"/>
                <w:b/>
                <w:bCs w:val="0"/>
                <w:i/>
                <w:iCs/>
              </w:rPr>
              <w:t xml:space="preserve">Release of </w:t>
            </w:r>
            <w:r>
              <w:rPr>
                <w:rFonts w:cs="Arial"/>
                <w:b/>
                <w:bCs w:val="0"/>
                <w:i/>
                <w:iCs/>
              </w:rPr>
              <w:t xml:space="preserve">Medical </w:t>
            </w:r>
            <w:r w:rsidRPr="00C602BE">
              <w:rPr>
                <w:rFonts w:cs="Arial"/>
                <w:b/>
                <w:bCs w:val="0"/>
                <w:i/>
                <w:iCs/>
              </w:rPr>
              <w:t>Information Form</w:t>
            </w:r>
            <w:r w:rsidRPr="000B5B66">
              <w:rPr>
                <w:rFonts w:cs="Arial"/>
              </w:rPr>
              <w:t xml:space="preserve"> exists for </w:t>
            </w:r>
            <w:r>
              <w:rPr>
                <w:rFonts w:cs="Arial"/>
              </w:rPr>
              <w:t xml:space="preserve">the Ryan White System and for external providers. </w:t>
            </w:r>
            <w:r w:rsidRPr="000B5B66">
              <w:rPr>
                <w:rFonts w:cs="Arial"/>
              </w:rPr>
              <w:t xml:space="preserve">Each release form indicates the destination of </w:t>
            </w:r>
            <w:r w:rsidRPr="000B5B66">
              <w:rPr>
                <w:rFonts w:cs="Arial"/>
              </w:rPr>
              <w:lastRenderedPageBreak/>
              <w:t>the c</w:t>
            </w:r>
            <w:r>
              <w:rPr>
                <w:rFonts w:cs="Arial"/>
              </w:rPr>
              <w:t>onsumer</w:t>
            </w:r>
            <w:r w:rsidRPr="000B5B66">
              <w:rPr>
                <w:rFonts w:cs="Arial"/>
              </w:rPr>
              <w:t xml:space="preserve">’s information or from whom information is being </w:t>
            </w:r>
            <w:r w:rsidRPr="00082D89">
              <w:rPr>
                <w:rFonts w:eastAsia="Times New Roman" w:cs="Arial"/>
                <w:bCs w:val="0"/>
                <w:szCs w:val="24"/>
              </w:rPr>
              <w:t>requested before the consumer signs the release. Consent forms have an expiration date of one year.</w:t>
            </w:r>
          </w:p>
          <w:p w:rsidR="00DE4D08" w:rsidRDefault="00082D89" w:rsidP="00B32A01">
            <w:pPr>
              <w:jc w:val="left"/>
              <w:rPr>
                <w:rFonts w:eastAsia="Times New Roman" w:cs="Arial"/>
                <w:b/>
                <w:bCs w:val="0"/>
                <w:sz w:val="22"/>
                <w:szCs w:val="22"/>
              </w:rPr>
            </w:pPr>
            <w:r w:rsidRPr="008E7A53">
              <w:rPr>
                <w:rFonts w:eastAsia="Times New Roman" w:cs="Arial"/>
                <w:b/>
                <w:bCs w:val="0"/>
                <w:sz w:val="22"/>
                <w:szCs w:val="22"/>
              </w:rPr>
              <w:t>Note: A separate signed consent must be completed for each external provider.</w:t>
            </w:r>
          </w:p>
          <w:p w:rsidR="00B32A01" w:rsidRPr="00A01B1D" w:rsidRDefault="00B32A01" w:rsidP="00B32A01">
            <w:pPr>
              <w:jc w:val="left"/>
              <w:rPr>
                <w:bCs w:val="0"/>
              </w:rPr>
            </w:pPr>
          </w:p>
        </w:tc>
      </w:tr>
      <w:tr w:rsidR="00A01B1D"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A01B1D" w:rsidRDefault="00A01B1D" w:rsidP="00B32A01">
            <w:pPr>
              <w:spacing w:after="100" w:afterAutospacing="1"/>
              <w:jc w:val="left"/>
              <w:rPr>
                <w:bCs w:val="0"/>
              </w:rPr>
            </w:pPr>
            <w:r>
              <w:rPr>
                <w:bCs w:val="0"/>
              </w:rPr>
              <w:lastRenderedPageBreak/>
              <w:t>1.6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082D89" w:rsidP="00B32A01">
            <w:pPr>
              <w:widowControl w:val="0"/>
              <w:kinsoku w:val="0"/>
              <w:overflowPunct w:val="0"/>
              <w:autoSpaceDE w:val="0"/>
              <w:autoSpaceDN w:val="0"/>
              <w:adjustRightInd w:val="0"/>
              <w:rPr>
                <w:rFonts w:eastAsia="Times New Roman" w:cs="Arial"/>
                <w:szCs w:val="24"/>
              </w:rPr>
            </w:pPr>
            <w:r w:rsidRPr="00082D89">
              <w:rPr>
                <w:rFonts w:eastAsia="Times New Roman" w:cs="Arial"/>
                <w:szCs w:val="24"/>
              </w:rPr>
              <w:t>Agency maintains progress notes of all</w:t>
            </w:r>
            <w:r>
              <w:rPr>
                <w:rFonts w:eastAsia="Times New Roman" w:cs="Arial"/>
                <w:szCs w:val="24"/>
              </w:rPr>
              <w:t xml:space="preserve"> </w:t>
            </w:r>
            <w:r w:rsidRPr="00082D89">
              <w:rPr>
                <w:rFonts w:eastAsia="Times New Roman" w:cs="Arial"/>
                <w:szCs w:val="24"/>
              </w:rPr>
              <w:t>Communication between provider and consumer.  Progress notes indicate service provided and referrals that link consumers to needed services. Notes are dated, and in chronological order.</w:t>
            </w:r>
          </w:p>
          <w:p w:rsidR="00B32A01" w:rsidRDefault="00B32A01" w:rsidP="00B32A01">
            <w:pPr>
              <w:widowControl w:val="0"/>
              <w:kinsoku w:val="0"/>
              <w:overflowPunct w:val="0"/>
              <w:autoSpaceDE w:val="0"/>
              <w:autoSpaceDN w:val="0"/>
              <w:adjustRightInd w:val="0"/>
              <w:rPr>
                <w:bCs w:val="0"/>
              </w:rPr>
            </w:pP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A01B1D" w:rsidRDefault="00A01B1D" w:rsidP="00B32A01">
            <w:pPr>
              <w:spacing w:after="100" w:afterAutospacing="1"/>
              <w:jc w:val="left"/>
              <w:rPr>
                <w:bCs w:val="0"/>
              </w:rPr>
            </w:pPr>
            <w:r>
              <w:rPr>
                <w:bCs w:val="0"/>
              </w:rPr>
              <w:t>1.6</w:t>
            </w:r>
          </w:p>
        </w:tc>
        <w:tc>
          <w:tcPr>
            <w:tcW w:w="3942" w:type="dxa"/>
            <w:tcBorders>
              <w:top w:val="single" w:sz="12" w:space="0" w:color="17365D" w:themeColor="text2" w:themeShade="BF"/>
              <w:bottom w:val="single" w:sz="12" w:space="0" w:color="17365D" w:themeColor="text2" w:themeShade="BF"/>
            </w:tcBorders>
          </w:tcPr>
          <w:p w:rsidR="00A01B1D" w:rsidRPr="00FF7F7F" w:rsidRDefault="000F63D5" w:rsidP="00B32A01">
            <w:pPr>
              <w:spacing w:after="100" w:afterAutospacing="1"/>
              <w:jc w:val="left"/>
              <w:rPr>
                <w:bCs w:val="0"/>
              </w:rPr>
            </w:pPr>
            <w:r w:rsidRPr="000B5B66">
              <w:rPr>
                <w:rFonts w:cs="Arial"/>
              </w:rPr>
              <w:t xml:space="preserve">Progress notes maintained in individual </w:t>
            </w:r>
            <w:r>
              <w:rPr>
                <w:rFonts w:cs="Arial"/>
              </w:rPr>
              <w:t xml:space="preserve">Provider Enterprise (PE) </w:t>
            </w:r>
            <w:r w:rsidRPr="000B5B66">
              <w:rPr>
                <w:rFonts w:cs="Arial"/>
              </w:rPr>
              <w:t>c</w:t>
            </w:r>
            <w:r>
              <w:rPr>
                <w:rFonts w:cs="Arial"/>
              </w:rPr>
              <w:t>onsumer record.</w:t>
            </w:r>
          </w:p>
        </w:tc>
      </w:tr>
      <w:tr w:rsidR="00FF7F7F"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FF7F7F" w:rsidRDefault="00A4181F" w:rsidP="00B32A01">
            <w:pPr>
              <w:jc w:val="left"/>
              <w:rPr>
                <w:bCs w:val="0"/>
              </w:rPr>
            </w:pPr>
            <w:r>
              <w:rPr>
                <w:bCs w:val="0"/>
              </w:rPr>
              <w:t>1.7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0F63D5" w:rsidP="00B32A01">
            <w:pPr>
              <w:jc w:val="left"/>
              <w:rPr>
                <w:rFonts w:cs="Arial"/>
                <w:szCs w:val="24"/>
              </w:rPr>
            </w:pPr>
            <w:r w:rsidRPr="000B5B66">
              <w:rPr>
                <w:rFonts w:cs="Arial"/>
                <w:szCs w:val="24"/>
              </w:rPr>
              <w:t xml:space="preserve">Policy on </w:t>
            </w:r>
            <w:r>
              <w:rPr>
                <w:rFonts w:cs="Arial"/>
                <w:szCs w:val="24"/>
              </w:rPr>
              <w:t>U</w:t>
            </w:r>
            <w:r w:rsidRPr="000B5B66">
              <w:rPr>
                <w:rFonts w:cs="Arial"/>
                <w:szCs w:val="24"/>
              </w:rPr>
              <w:t xml:space="preserve">niversal </w:t>
            </w:r>
            <w:r>
              <w:rPr>
                <w:rFonts w:cs="Arial"/>
                <w:szCs w:val="24"/>
              </w:rPr>
              <w:t>P</w:t>
            </w:r>
            <w:r w:rsidRPr="000B5B66">
              <w:rPr>
                <w:rFonts w:cs="Arial"/>
                <w:szCs w:val="24"/>
              </w:rPr>
              <w:t xml:space="preserve">recautions </w:t>
            </w:r>
            <w:r>
              <w:rPr>
                <w:rFonts w:cs="Arial"/>
                <w:szCs w:val="24"/>
              </w:rPr>
              <w:t>that includes C</w:t>
            </w:r>
            <w:r w:rsidRPr="000B5B66">
              <w:rPr>
                <w:rFonts w:cs="Arial"/>
                <w:szCs w:val="24"/>
              </w:rPr>
              <w:t xml:space="preserve">risis </w:t>
            </w:r>
            <w:r>
              <w:rPr>
                <w:rFonts w:cs="Arial"/>
                <w:szCs w:val="24"/>
              </w:rPr>
              <w:t>M</w:t>
            </w:r>
            <w:r w:rsidRPr="000B5B66">
              <w:rPr>
                <w:rFonts w:cs="Arial"/>
                <w:szCs w:val="24"/>
              </w:rPr>
              <w:t>anagement</w:t>
            </w:r>
            <w:r>
              <w:rPr>
                <w:rFonts w:cs="Arial"/>
                <w:szCs w:val="24"/>
              </w:rPr>
              <w:t xml:space="preserve"> which</w:t>
            </w:r>
            <w:r w:rsidRPr="000B5B66">
              <w:rPr>
                <w:rFonts w:cs="Arial"/>
                <w:szCs w:val="24"/>
              </w:rPr>
              <w:t xml:space="preserve"> addresses, at a minimum, infection control (e.g., needle sticks), mental health crises, and dangerous behaviors by consumers or staff.</w:t>
            </w:r>
          </w:p>
          <w:p w:rsidR="00B32A01" w:rsidRDefault="00B32A01" w:rsidP="00B32A01">
            <w:pPr>
              <w:jc w:val="left"/>
              <w:rPr>
                <w:bCs w:val="0"/>
              </w:rPr>
            </w:pP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FF7F7F" w:rsidRDefault="00A4181F" w:rsidP="00B32A01">
            <w:pPr>
              <w:jc w:val="left"/>
              <w:rPr>
                <w:bCs w:val="0"/>
              </w:rPr>
            </w:pPr>
            <w:r>
              <w:rPr>
                <w:bCs w:val="0"/>
              </w:rPr>
              <w:t>1.7</w:t>
            </w:r>
          </w:p>
        </w:tc>
        <w:tc>
          <w:tcPr>
            <w:tcW w:w="3942" w:type="dxa"/>
            <w:tcBorders>
              <w:top w:val="single" w:sz="12" w:space="0" w:color="17365D" w:themeColor="text2" w:themeShade="BF"/>
              <w:bottom w:val="single" w:sz="12" w:space="0" w:color="17365D" w:themeColor="text2" w:themeShade="BF"/>
            </w:tcBorders>
          </w:tcPr>
          <w:p w:rsidR="000F63D5" w:rsidRPr="000F63D5" w:rsidRDefault="000F63D5" w:rsidP="00B32A01">
            <w:pPr>
              <w:widowControl w:val="0"/>
              <w:kinsoku w:val="0"/>
              <w:overflowPunct w:val="0"/>
              <w:autoSpaceDE w:val="0"/>
              <w:autoSpaceDN w:val="0"/>
              <w:adjustRightInd w:val="0"/>
              <w:ind w:left="32"/>
              <w:rPr>
                <w:rFonts w:eastAsia="Times New Roman" w:cs="Arial"/>
                <w:szCs w:val="24"/>
              </w:rPr>
            </w:pPr>
            <w:r w:rsidRPr="000F63D5">
              <w:rPr>
                <w:rFonts w:eastAsia="Times New Roman" w:cs="Arial"/>
                <w:szCs w:val="24"/>
              </w:rPr>
              <w:t>Written policy on file at provider agency:</w:t>
            </w:r>
            <w:r w:rsidRPr="000F63D5">
              <w:rPr>
                <w:rFonts w:eastAsia="Times New Roman" w:cs="Arial"/>
              </w:rPr>
              <w:t xml:space="preserve"> documentation of staff training in personnel file.</w:t>
            </w:r>
          </w:p>
          <w:p w:rsidR="00FF7F7F" w:rsidRDefault="00FF7F7F" w:rsidP="00B32A01">
            <w:pPr>
              <w:jc w:val="left"/>
              <w:rPr>
                <w:bCs w:val="0"/>
              </w:rPr>
            </w:pPr>
          </w:p>
        </w:tc>
      </w:tr>
      <w:tr w:rsidR="00914A01"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914A01" w:rsidRDefault="00914A01" w:rsidP="00B32A01">
            <w:pPr>
              <w:jc w:val="left"/>
              <w:rPr>
                <w:bCs w:val="0"/>
              </w:rPr>
            </w:pPr>
            <w:r>
              <w:rPr>
                <w:bCs w:val="0"/>
              </w:rPr>
              <w:t>1.8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14A01" w:rsidRPr="000F63D5" w:rsidRDefault="000F63D5" w:rsidP="00B32A01">
            <w:pPr>
              <w:widowControl w:val="0"/>
              <w:kinsoku w:val="0"/>
              <w:overflowPunct w:val="0"/>
              <w:autoSpaceDE w:val="0"/>
              <w:autoSpaceDN w:val="0"/>
              <w:adjustRightInd w:val="0"/>
              <w:ind w:left="18"/>
              <w:rPr>
                <w:rFonts w:eastAsia="Times New Roman" w:cs="Arial"/>
                <w:szCs w:val="24"/>
              </w:rPr>
            </w:pPr>
            <w:r w:rsidRPr="000F63D5">
              <w:rPr>
                <w:rFonts w:eastAsia="Times New Roman" w:cs="Arial"/>
                <w:szCs w:val="24"/>
              </w:rPr>
              <w:t>Policy and procedures for handling medical emergencies.</w:t>
            </w: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914A01" w:rsidRDefault="00914A01" w:rsidP="00B32A01">
            <w:pPr>
              <w:jc w:val="left"/>
              <w:rPr>
                <w:bCs w:val="0"/>
              </w:rPr>
            </w:pPr>
            <w:r>
              <w:rPr>
                <w:bCs w:val="0"/>
              </w:rPr>
              <w:t>1.8</w:t>
            </w:r>
          </w:p>
        </w:tc>
        <w:tc>
          <w:tcPr>
            <w:tcW w:w="3942" w:type="dxa"/>
            <w:tcBorders>
              <w:top w:val="single" w:sz="12" w:space="0" w:color="17365D" w:themeColor="text2" w:themeShade="BF"/>
              <w:bottom w:val="single" w:sz="12" w:space="0" w:color="17365D" w:themeColor="text2" w:themeShade="BF"/>
            </w:tcBorders>
          </w:tcPr>
          <w:p w:rsidR="00DE4D08" w:rsidRDefault="000F63D5" w:rsidP="00B32A01">
            <w:pPr>
              <w:widowControl w:val="0"/>
              <w:kinsoku w:val="0"/>
              <w:overflowPunct w:val="0"/>
              <w:autoSpaceDE w:val="0"/>
              <w:autoSpaceDN w:val="0"/>
              <w:adjustRightInd w:val="0"/>
              <w:ind w:left="22" w:right="293"/>
              <w:rPr>
                <w:rFonts w:eastAsia="Times New Roman" w:cs="Arial"/>
                <w:szCs w:val="24"/>
              </w:rPr>
            </w:pPr>
            <w:r w:rsidRPr="000F63D5">
              <w:rPr>
                <w:rFonts w:eastAsia="Times New Roman" w:cs="Arial"/>
                <w:szCs w:val="24"/>
              </w:rPr>
              <w:t>Policy and procedures on file and posted in visible location at site.</w:t>
            </w:r>
          </w:p>
          <w:p w:rsidR="00B32A01" w:rsidRDefault="00B32A01" w:rsidP="00B32A01">
            <w:pPr>
              <w:widowControl w:val="0"/>
              <w:kinsoku w:val="0"/>
              <w:overflowPunct w:val="0"/>
              <w:autoSpaceDE w:val="0"/>
              <w:autoSpaceDN w:val="0"/>
              <w:adjustRightInd w:val="0"/>
              <w:ind w:left="22" w:right="293"/>
              <w:rPr>
                <w:bCs w:val="0"/>
              </w:rPr>
            </w:pPr>
          </w:p>
        </w:tc>
      </w:tr>
      <w:tr w:rsidR="00914A01"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914A01" w:rsidRDefault="00914A01" w:rsidP="00B32A01">
            <w:pPr>
              <w:jc w:val="left"/>
              <w:rPr>
                <w:bCs w:val="0"/>
              </w:rPr>
            </w:pPr>
            <w:r>
              <w:rPr>
                <w:bCs w:val="0"/>
              </w:rPr>
              <w:t>1.9</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082D89" w:rsidP="00B32A01">
            <w:pPr>
              <w:widowControl w:val="0"/>
              <w:kinsoku w:val="0"/>
              <w:overflowPunct w:val="0"/>
              <w:autoSpaceDE w:val="0"/>
              <w:autoSpaceDN w:val="0"/>
              <w:adjustRightInd w:val="0"/>
              <w:rPr>
                <w:rFonts w:eastAsia="Times New Roman" w:cs="Arial"/>
                <w:szCs w:val="24"/>
              </w:rPr>
            </w:pPr>
            <w:r w:rsidRPr="00082D89">
              <w:rPr>
                <w:rFonts w:eastAsia="Times New Roman" w:cs="Arial"/>
                <w:szCs w:val="24"/>
              </w:rPr>
              <w:t>Agency complies with ADA criteria for programmatic accessibility. In the case of programs with multiple sites offering identical services, at least one of the sites is in compliance with relevant ADA criteria.</w:t>
            </w:r>
          </w:p>
          <w:p w:rsidR="00B32A01" w:rsidRDefault="00B32A01" w:rsidP="00B32A01">
            <w:pPr>
              <w:widowControl w:val="0"/>
              <w:kinsoku w:val="0"/>
              <w:overflowPunct w:val="0"/>
              <w:autoSpaceDE w:val="0"/>
              <w:autoSpaceDN w:val="0"/>
              <w:adjustRightInd w:val="0"/>
              <w:rPr>
                <w:bCs w:val="0"/>
              </w:rPr>
            </w:pP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914A01" w:rsidRDefault="00914A01" w:rsidP="00B32A01">
            <w:pPr>
              <w:jc w:val="left"/>
              <w:rPr>
                <w:bCs w:val="0"/>
              </w:rPr>
            </w:pPr>
            <w:r>
              <w:rPr>
                <w:bCs w:val="0"/>
              </w:rPr>
              <w:t>1.9</w:t>
            </w:r>
          </w:p>
        </w:tc>
        <w:tc>
          <w:tcPr>
            <w:tcW w:w="3942" w:type="dxa"/>
            <w:tcBorders>
              <w:top w:val="single" w:sz="12" w:space="0" w:color="17365D" w:themeColor="text2" w:themeShade="BF"/>
              <w:bottom w:val="single" w:sz="12" w:space="0" w:color="17365D" w:themeColor="text2" w:themeShade="BF"/>
            </w:tcBorders>
          </w:tcPr>
          <w:p w:rsidR="00DE4D08" w:rsidRPr="00DE4D08" w:rsidRDefault="000F63D5" w:rsidP="00B32A01">
            <w:pPr>
              <w:jc w:val="left"/>
              <w:rPr>
                <w:rFonts w:cs="Arial"/>
              </w:rPr>
            </w:pPr>
            <w:r w:rsidRPr="000B5B66">
              <w:rPr>
                <w:rFonts w:cs="Arial"/>
              </w:rPr>
              <w:t>Site visit conducted by funder.</w:t>
            </w:r>
          </w:p>
        </w:tc>
      </w:tr>
      <w:tr w:rsidR="00914A01"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914A01" w:rsidRDefault="00914A01" w:rsidP="00B32A01">
            <w:pPr>
              <w:jc w:val="left"/>
              <w:rPr>
                <w:bCs w:val="0"/>
              </w:rPr>
            </w:pPr>
            <w:r>
              <w:rPr>
                <w:bCs w:val="0"/>
              </w:rPr>
              <w:t>1.10</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0F63D5" w:rsidP="00B32A01">
            <w:pPr>
              <w:jc w:val="left"/>
              <w:rPr>
                <w:rFonts w:cs="Arial"/>
                <w:szCs w:val="24"/>
              </w:rPr>
            </w:pPr>
            <w:r w:rsidRPr="000B5B66">
              <w:rPr>
                <w:rFonts w:cs="Arial"/>
                <w:szCs w:val="24"/>
              </w:rPr>
              <w:t>Agency complies with all applicable state and federal workplace and safety laws and regulations, including fire safety.</w:t>
            </w:r>
          </w:p>
          <w:p w:rsidR="00B32A01" w:rsidRDefault="00B32A01" w:rsidP="00B32A01">
            <w:pPr>
              <w:jc w:val="left"/>
              <w:rPr>
                <w:bCs w:val="0"/>
              </w:rPr>
            </w:pP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914A01" w:rsidRDefault="00082D89" w:rsidP="00B32A01">
            <w:pPr>
              <w:jc w:val="left"/>
              <w:rPr>
                <w:bCs w:val="0"/>
              </w:rPr>
            </w:pPr>
            <w:r>
              <w:rPr>
                <w:bCs w:val="0"/>
              </w:rPr>
              <w:t>1.10</w:t>
            </w:r>
          </w:p>
        </w:tc>
        <w:tc>
          <w:tcPr>
            <w:tcW w:w="3942" w:type="dxa"/>
            <w:tcBorders>
              <w:top w:val="single" w:sz="12" w:space="0" w:color="17365D" w:themeColor="text2" w:themeShade="BF"/>
              <w:bottom w:val="single" w:sz="12" w:space="0" w:color="17365D" w:themeColor="text2" w:themeShade="BF"/>
            </w:tcBorders>
          </w:tcPr>
          <w:p w:rsidR="00914A01" w:rsidRDefault="00914A01" w:rsidP="00B32A01">
            <w:pPr>
              <w:jc w:val="left"/>
              <w:rPr>
                <w:bCs w:val="0"/>
              </w:rPr>
            </w:pPr>
            <w:r>
              <w:rPr>
                <w:bCs w:val="0"/>
              </w:rPr>
              <w:t>Site visit conducted by funder.</w:t>
            </w:r>
          </w:p>
        </w:tc>
      </w:tr>
      <w:tr w:rsidR="00914A01" w:rsidTr="009C0F7D">
        <w:trPr>
          <w:gridAfter w:val="1"/>
          <w:wAfter w:w="18" w:type="dxa"/>
        </w:trPr>
        <w:tc>
          <w:tcPr>
            <w:tcW w:w="720" w:type="dxa"/>
            <w:tcBorders>
              <w:top w:val="single" w:sz="12" w:space="0" w:color="17365D" w:themeColor="text2" w:themeShade="BF"/>
              <w:bottom w:val="single" w:sz="12" w:space="0" w:color="17365D" w:themeColor="text2" w:themeShade="BF"/>
            </w:tcBorders>
          </w:tcPr>
          <w:p w:rsidR="00914A01" w:rsidRDefault="00914A01" w:rsidP="00B32A01">
            <w:pPr>
              <w:jc w:val="left"/>
              <w:rPr>
                <w:bCs w:val="0"/>
              </w:rPr>
            </w:pPr>
            <w:r>
              <w:rPr>
                <w:bCs w:val="0"/>
              </w:rPr>
              <w:t>1.11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B32A01" w:rsidRDefault="000F63D5" w:rsidP="00B32A01">
            <w:pPr>
              <w:rPr>
                <w:rFonts w:eastAsia="Times New Roman" w:cs="Arial"/>
                <w:szCs w:val="24"/>
              </w:rPr>
            </w:pPr>
            <w:r w:rsidRPr="000F63D5">
              <w:rPr>
                <w:rFonts w:eastAsia="Times New Roman" w:cs="Arial"/>
                <w:szCs w:val="24"/>
              </w:rPr>
              <w:t>Standardized forms and up-to-date protocols will be utilized across the system to promote and ensure uniform quality of care.</w:t>
            </w:r>
          </w:p>
          <w:p w:rsidR="00B32A01" w:rsidRPr="00B32A01" w:rsidRDefault="00B32A01" w:rsidP="00B32A01">
            <w:pPr>
              <w:rPr>
                <w:rFonts w:eastAsia="Times New Roman" w:cs="Arial"/>
                <w:szCs w:val="24"/>
              </w:rPr>
            </w:pPr>
          </w:p>
        </w:tc>
        <w:tc>
          <w:tcPr>
            <w:tcW w:w="738" w:type="dxa"/>
            <w:tcBorders>
              <w:top w:val="single" w:sz="12" w:space="0" w:color="17365D" w:themeColor="text2" w:themeShade="BF"/>
              <w:left w:val="single" w:sz="12" w:space="0" w:color="17365D" w:themeColor="text2" w:themeShade="BF"/>
              <w:bottom w:val="single" w:sz="12" w:space="0" w:color="17365D" w:themeColor="text2" w:themeShade="BF"/>
            </w:tcBorders>
          </w:tcPr>
          <w:p w:rsidR="00914A01" w:rsidRDefault="00082D89" w:rsidP="00B32A01">
            <w:pPr>
              <w:jc w:val="left"/>
              <w:rPr>
                <w:bCs w:val="0"/>
              </w:rPr>
            </w:pPr>
            <w:r>
              <w:rPr>
                <w:bCs w:val="0"/>
              </w:rPr>
              <w:t>1.11</w:t>
            </w:r>
          </w:p>
        </w:tc>
        <w:tc>
          <w:tcPr>
            <w:tcW w:w="3942" w:type="dxa"/>
            <w:tcBorders>
              <w:top w:val="single" w:sz="12" w:space="0" w:color="17365D" w:themeColor="text2" w:themeShade="BF"/>
              <w:bottom w:val="single" w:sz="12" w:space="0" w:color="17365D" w:themeColor="text2" w:themeShade="BF"/>
            </w:tcBorders>
          </w:tcPr>
          <w:p w:rsidR="0069155E" w:rsidRDefault="000F63D5" w:rsidP="00B32A01">
            <w:pPr>
              <w:jc w:val="left"/>
              <w:rPr>
                <w:bCs w:val="0"/>
              </w:rPr>
            </w:pPr>
            <w:r w:rsidRPr="00292FE4">
              <w:rPr>
                <w:rFonts w:cs="Arial"/>
              </w:rPr>
              <w:t>Required forms in consumer’s</w:t>
            </w:r>
            <w:r>
              <w:rPr>
                <w:rFonts w:cs="Arial"/>
              </w:rPr>
              <w:t xml:space="preserve"> PE</w:t>
            </w:r>
            <w:r w:rsidRPr="00292FE4">
              <w:rPr>
                <w:rFonts w:cs="Arial"/>
              </w:rPr>
              <w:t xml:space="preserve"> record</w:t>
            </w:r>
            <w:r>
              <w:rPr>
                <w:rFonts w:cs="Arial"/>
              </w:rPr>
              <w:t>.</w:t>
            </w:r>
          </w:p>
        </w:tc>
      </w:tr>
      <w:tr w:rsidR="00A05A66" w:rsidTr="009C0F7D">
        <w:tblPrEx>
          <w:tblBorders>
            <w:top w:val="single" w:sz="4" w:space="0" w:color="auto"/>
            <w:bottom w:val="single" w:sz="4" w:space="0" w:color="auto"/>
          </w:tblBorders>
        </w:tblPrEx>
        <w:tc>
          <w:tcPr>
            <w:tcW w:w="9576" w:type="dxa"/>
            <w:gridSpan w:val="5"/>
            <w:tcBorders>
              <w:top w:val="single" w:sz="12" w:space="0" w:color="17365D" w:themeColor="text2" w:themeShade="BF"/>
              <w:bottom w:val="single" w:sz="12" w:space="0" w:color="17365D" w:themeColor="text2" w:themeShade="BF"/>
            </w:tcBorders>
          </w:tcPr>
          <w:p w:rsidR="00A05A66" w:rsidRPr="0069155E" w:rsidRDefault="00A05A66" w:rsidP="0069155E">
            <w:pPr>
              <w:pStyle w:val="Heading3"/>
              <w:spacing w:before="0"/>
              <w:outlineLvl w:val="2"/>
              <w:rPr>
                <w:bCs/>
              </w:rPr>
            </w:pPr>
            <w:bookmarkStart w:id="7" w:name="_Toc489280859"/>
            <w:r w:rsidRPr="0069155E">
              <w:rPr>
                <w:sz w:val="28"/>
              </w:rPr>
              <w:lastRenderedPageBreak/>
              <w:t xml:space="preserve">2.0 Consumer Rights </w:t>
            </w:r>
            <w:r w:rsidR="0069155E" w:rsidRPr="0069155E">
              <w:rPr>
                <w:sz w:val="28"/>
              </w:rPr>
              <w:t>and</w:t>
            </w:r>
            <w:r w:rsidRPr="0069155E">
              <w:rPr>
                <w:sz w:val="28"/>
              </w:rPr>
              <w:t xml:space="preserve"> Responsibilities</w:t>
            </w:r>
            <w:bookmarkEnd w:id="7"/>
          </w:p>
        </w:tc>
      </w:tr>
    </w:tbl>
    <w:p w:rsidR="00521A55" w:rsidRDefault="00521A55" w:rsidP="00521A55">
      <w:pPr>
        <w:spacing w:after="0"/>
      </w:pPr>
    </w:p>
    <w:tbl>
      <w:tblPr>
        <w:tblW w:w="9540" w:type="dxa"/>
        <w:tblInd w:w="18" w:type="dxa"/>
        <w:tblLook w:val="04A0" w:firstRow="1" w:lastRow="0" w:firstColumn="1" w:lastColumn="0" w:noHBand="0" w:noVBand="1"/>
      </w:tblPr>
      <w:tblGrid>
        <w:gridCol w:w="9540"/>
      </w:tblGrid>
      <w:tr w:rsidR="00DB0CB6" w:rsidRPr="000B5B66" w:rsidTr="00B26D67">
        <w:trPr>
          <w:trHeight w:val="909"/>
        </w:trPr>
        <w:tc>
          <w:tcPr>
            <w:tcW w:w="9540" w:type="dxa"/>
            <w:shd w:val="clear" w:color="auto" w:fill="auto"/>
          </w:tcPr>
          <w:p w:rsidR="00DB0CB6" w:rsidRPr="000B5B66" w:rsidRDefault="00DB0CB6" w:rsidP="008579C9">
            <w:pPr>
              <w:rPr>
                <w:rFonts w:ascii="Arial" w:hAnsi="Arial" w:cs="Arial"/>
                <w:sz w:val="24"/>
                <w:szCs w:val="24"/>
              </w:rPr>
            </w:pPr>
            <w:r w:rsidRPr="000B5B66">
              <w:rPr>
                <w:rFonts w:ascii="Arial" w:hAnsi="Arial" w:cs="Arial"/>
                <w:sz w:val="24"/>
                <w:szCs w:val="24"/>
              </w:rPr>
              <w:t>The objectives of estab</w:t>
            </w:r>
            <w:r>
              <w:rPr>
                <w:rFonts w:ascii="Arial" w:hAnsi="Arial" w:cs="Arial"/>
                <w:sz w:val="24"/>
                <w:szCs w:val="24"/>
              </w:rPr>
              <w:t>lishing minimum standards for consumer</w:t>
            </w:r>
            <w:r w:rsidRPr="000B5B66">
              <w:rPr>
                <w:rFonts w:ascii="Arial" w:hAnsi="Arial" w:cs="Arial"/>
                <w:sz w:val="24"/>
                <w:szCs w:val="24"/>
              </w:rPr>
              <w:t xml:space="preserve"> rights and responsibilities are to:</w:t>
            </w:r>
          </w:p>
          <w:p w:rsidR="00DB0CB6" w:rsidRPr="00B26D67" w:rsidRDefault="00B26D67" w:rsidP="001B1B43">
            <w:pPr>
              <w:pStyle w:val="ListParagraph"/>
              <w:numPr>
                <w:ilvl w:val="0"/>
                <w:numId w:val="117"/>
              </w:numPr>
              <w:spacing w:after="0" w:line="240" w:lineRule="auto"/>
              <w:rPr>
                <w:rFonts w:ascii="Arial" w:hAnsi="Arial" w:cs="Arial"/>
                <w:sz w:val="24"/>
                <w:szCs w:val="24"/>
              </w:rPr>
            </w:pPr>
            <w:r>
              <w:rPr>
                <w:rFonts w:ascii="Arial" w:hAnsi="Arial" w:cs="Arial"/>
                <w:sz w:val="24"/>
                <w:szCs w:val="24"/>
              </w:rPr>
              <w:t>E</w:t>
            </w:r>
            <w:r w:rsidR="00DB0CB6" w:rsidRPr="00B26D67">
              <w:rPr>
                <w:rFonts w:ascii="Arial" w:hAnsi="Arial" w:cs="Arial"/>
                <w:sz w:val="24"/>
                <w:szCs w:val="24"/>
              </w:rPr>
              <w:t>nsure that services are available to all eligible consumers;</w:t>
            </w:r>
          </w:p>
          <w:p w:rsidR="00DB0CB6" w:rsidRPr="00B26D67" w:rsidRDefault="00B26D67" w:rsidP="001B1B43">
            <w:pPr>
              <w:pStyle w:val="ListParagraph"/>
              <w:numPr>
                <w:ilvl w:val="0"/>
                <w:numId w:val="117"/>
              </w:numPr>
              <w:spacing w:after="0" w:line="240" w:lineRule="auto"/>
              <w:rPr>
                <w:rFonts w:ascii="Arial" w:hAnsi="Arial" w:cs="Arial"/>
                <w:sz w:val="24"/>
                <w:szCs w:val="24"/>
              </w:rPr>
            </w:pPr>
            <w:r>
              <w:rPr>
                <w:rFonts w:ascii="Arial" w:hAnsi="Arial" w:cs="Arial"/>
                <w:sz w:val="24"/>
                <w:szCs w:val="24"/>
              </w:rPr>
              <w:t>E</w:t>
            </w:r>
            <w:r w:rsidR="00DB0CB6" w:rsidRPr="00B26D67">
              <w:rPr>
                <w:rFonts w:ascii="Arial" w:hAnsi="Arial" w:cs="Arial"/>
                <w:sz w:val="24"/>
                <w:szCs w:val="24"/>
              </w:rPr>
              <w:t>nsure that services are accessible for consumers;</w:t>
            </w:r>
          </w:p>
          <w:p w:rsidR="00DB0CB6" w:rsidRPr="00B26D67" w:rsidRDefault="00B26D67" w:rsidP="001B1B43">
            <w:pPr>
              <w:pStyle w:val="ListParagraph"/>
              <w:numPr>
                <w:ilvl w:val="0"/>
                <w:numId w:val="117"/>
              </w:numPr>
              <w:spacing w:after="0" w:line="240" w:lineRule="auto"/>
              <w:rPr>
                <w:rFonts w:ascii="Arial" w:hAnsi="Arial" w:cs="Arial"/>
                <w:sz w:val="24"/>
                <w:szCs w:val="24"/>
              </w:rPr>
            </w:pPr>
            <w:r>
              <w:rPr>
                <w:rFonts w:ascii="Arial" w:hAnsi="Arial" w:cs="Arial"/>
                <w:sz w:val="24"/>
                <w:szCs w:val="24"/>
              </w:rPr>
              <w:t>I</w:t>
            </w:r>
            <w:r w:rsidR="00DB0CB6" w:rsidRPr="00B26D67">
              <w:rPr>
                <w:rFonts w:ascii="Arial" w:hAnsi="Arial" w:cs="Arial"/>
                <w:sz w:val="24"/>
                <w:szCs w:val="24"/>
              </w:rPr>
              <w:t>nvolve consumers of HIV/AIDS services in the design and evaluation of services; and</w:t>
            </w:r>
          </w:p>
          <w:p w:rsidR="00DB0CB6" w:rsidRDefault="00B26D67" w:rsidP="001B1B43">
            <w:pPr>
              <w:pStyle w:val="ListParagraph"/>
              <w:numPr>
                <w:ilvl w:val="0"/>
                <w:numId w:val="117"/>
              </w:numPr>
              <w:spacing w:after="0" w:line="240" w:lineRule="auto"/>
              <w:rPr>
                <w:rFonts w:ascii="Arial" w:hAnsi="Arial" w:cs="Arial"/>
                <w:sz w:val="24"/>
                <w:szCs w:val="24"/>
              </w:rPr>
            </w:pPr>
            <w:r>
              <w:rPr>
                <w:rFonts w:ascii="Arial" w:hAnsi="Arial" w:cs="Arial"/>
                <w:sz w:val="24"/>
                <w:szCs w:val="24"/>
              </w:rPr>
              <w:t>I</w:t>
            </w:r>
            <w:r w:rsidR="00DB0CB6" w:rsidRPr="00B26D67">
              <w:rPr>
                <w:rFonts w:ascii="Arial" w:hAnsi="Arial" w:cs="Arial"/>
                <w:sz w:val="24"/>
                <w:szCs w:val="24"/>
              </w:rPr>
              <w:t>nform consumers of their rights and responsibilities as consumers of HIV/AIDS services</w:t>
            </w:r>
          </w:p>
          <w:p w:rsidR="00B26D67" w:rsidRPr="00B26D67" w:rsidRDefault="00B26D67" w:rsidP="00B26D67">
            <w:pPr>
              <w:pStyle w:val="ListParagraph"/>
              <w:spacing w:after="0" w:line="240" w:lineRule="auto"/>
              <w:rPr>
                <w:rFonts w:ascii="Arial" w:hAnsi="Arial" w:cs="Arial"/>
                <w:sz w:val="24"/>
                <w:szCs w:val="24"/>
              </w:rPr>
            </w:pPr>
          </w:p>
          <w:p w:rsidR="00DB0CB6" w:rsidRPr="000B5B66" w:rsidRDefault="00DB0CB6" w:rsidP="008579C9">
            <w:pPr>
              <w:rPr>
                <w:rFonts w:ascii="Arial" w:hAnsi="Arial" w:cs="Arial"/>
                <w:sz w:val="24"/>
                <w:szCs w:val="24"/>
              </w:rPr>
            </w:pPr>
            <w:r w:rsidRPr="000B5B66">
              <w:rPr>
                <w:rFonts w:ascii="Arial" w:hAnsi="Arial" w:cs="Arial"/>
                <w:sz w:val="24"/>
                <w:szCs w:val="24"/>
              </w:rPr>
              <w:t>HIV/AIDS services funded by the Orlando EMA must be available to all consumers who meet eligibility requirements and must be easily accessible.</w:t>
            </w:r>
          </w:p>
          <w:p w:rsidR="00DB0CB6" w:rsidRPr="000B5B66" w:rsidRDefault="00DB0CB6" w:rsidP="00B26D67">
            <w:pPr>
              <w:jc w:val="both"/>
              <w:rPr>
                <w:rFonts w:ascii="Arial" w:hAnsi="Arial" w:cs="Arial"/>
                <w:sz w:val="24"/>
                <w:szCs w:val="24"/>
              </w:rPr>
            </w:pPr>
            <w:r w:rsidRPr="000B5B66">
              <w:rPr>
                <w:rFonts w:ascii="Arial" w:hAnsi="Arial" w:cs="Arial"/>
                <w:sz w:val="24"/>
                <w:szCs w:val="24"/>
              </w:rPr>
              <w:t xml:space="preserve">A key component of the HIV/AIDS service delivery system is the historic and continued involvement of consumers in the design and evaluation of services. </w:t>
            </w:r>
            <w:r>
              <w:rPr>
                <w:rFonts w:ascii="Arial" w:hAnsi="Arial" w:cs="Arial"/>
                <w:sz w:val="24"/>
                <w:szCs w:val="24"/>
              </w:rPr>
              <w:t>C</w:t>
            </w:r>
            <w:r w:rsidRPr="000B5B66">
              <w:rPr>
                <w:rFonts w:ascii="Arial" w:hAnsi="Arial" w:cs="Arial"/>
                <w:sz w:val="24"/>
                <w:szCs w:val="24"/>
              </w:rPr>
              <w:t>onsumer input and feedback must be incorporated into the design and evaluation of HIV/AIDS services funded by the Orlando EMA; this can be accomplished through a range of mechanisms including consumer advisory boards, participation of consumers in HIV program committees or other planning bodies, and/or other methods that collect information from consumers to help guide and evaluate service delivery (e.g., needs assessments, focus groups, or satisfaction surveys).</w:t>
            </w:r>
          </w:p>
          <w:p w:rsidR="00DB0CB6" w:rsidRPr="000B5B66" w:rsidRDefault="00DB0CB6" w:rsidP="00B26D67">
            <w:pPr>
              <w:jc w:val="both"/>
              <w:rPr>
                <w:rFonts w:ascii="Arial" w:hAnsi="Arial" w:cs="Arial"/>
                <w:sz w:val="24"/>
                <w:szCs w:val="24"/>
              </w:rPr>
            </w:pPr>
            <w:r w:rsidRPr="000B5B66">
              <w:rPr>
                <w:rFonts w:ascii="Arial" w:hAnsi="Arial" w:cs="Arial"/>
                <w:sz w:val="24"/>
                <w:szCs w:val="24"/>
              </w:rPr>
              <w:t xml:space="preserve">The quality of care and quality of life for people living with HIV/AIDS is maximized when consumers are active participants in their own health care and share in health care decisions with their providers. This can be facilitated by ensuring that consumers are aware of and understand their rights and responsibilities as consumers of HIV/AIDS services. Providers of HIV/AIDS services funded by </w:t>
            </w:r>
            <w:r>
              <w:rPr>
                <w:rFonts w:ascii="Arial" w:hAnsi="Arial" w:cs="Arial"/>
                <w:sz w:val="24"/>
                <w:szCs w:val="24"/>
              </w:rPr>
              <w:t>Ryan White Part A</w:t>
            </w:r>
            <w:r w:rsidRPr="000B5B66">
              <w:rPr>
                <w:rFonts w:ascii="Arial" w:hAnsi="Arial" w:cs="Arial"/>
                <w:sz w:val="24"/>
                <w:szCs w:val="24"/>
              </w:rPr>
              <w:t xml:space="preserve"> must provide all consumers with a Consumer Rights and Responsibilities document that includes, at a minimum, the </w:t>
            </w:r>
            <w:r>
              <w:rPr>
                <w:rFonts w:ascii="Arial" w:hAnsi="Arial" w:cs="Arial"/>
                <w:sz w:val="24"/>
                <w:szCs w:val="24"/>
              </w:rPr>
              <w:t>EMA</w:t>
            </w:r>
            <w:r w:rsidRPr="000B5B66">
              <w:rPr>
                <w:rFonts w:ascii="Arial" w:hAnsi="Arial" w:cs="Arial"/>
                <w:sz w:val="24"/>
                <w:szCs w:val="24"/>
              </w:rPr>
              <w:t>’s confidentiality policy, the agency’s expectations of the consumer, the consumer’s right to file a grievance, the consumer’s right to receive no</w:t>
            </w:r>
            <w:r w:rsidRPr="000B5B66">
              <w:rPr>
                <w:rFonts w:ascii="Cambria Math" w:hAnsi="Cambria Math" w:cs="Cambria Math"/>
                <w:sz w:val="24"/>
                <w:szCs w:val="24"/>
              </w:rPr>
              <w:t>‐</w:t>
            </w:r>
            <w:r w:rsidRPr="000B5B66">
              <w:rPr>
                <w:rFonts w:ascii="Arial" w:hAnsi="Arial" w:cs="Arial"/>
                <w:sz w:val="24"/>
                <w:szCs w:val="24"/>
              </w:rPr>
              <w:t>cost interpreter services, and the reasons for which a consumer may be discharged from services, including a due process for involuntary discharge. “Due process” refers to an established, step</w:t>
            </w:r>
            <w:r w:rsidRPr="000B5B66">
              <w:rPr>
                <w:rFonts w:ascii="Cambria Math" w:hAnsi="Cambria Math" w:cs="Cambria Math"/>
                <w:sz w:val="24"/>
                <w:szCs w:val="24"/>
              </w:rPr>
              <w:t>‐</w:t>
            </w:r>
            <w:r w:rsidRPr="000B5B66">
              <w:rPr>
                <w:rFonts w:ascii="Arial" w:hAnsi="Arial" w:cs="Arial"/>
                <w:sz w:val="24"/>
                <w:szCs w:val="24"/>
              </w:rPr>
              <w:t>by</w:t>
            </w:r>
            <w:r w:rsidRPr="000B5B66">
              <w:rPr>
                <w:rFonts w:ascii="Cambria Math" w:hAnsi="Cambria Math" w:cs="Cambria Math"/>
                <w:sz w:val="24"/>
                <w:szCs w:val="24"/>
              </w:rPr>
              <w:t>‐</w:t>
            </w:r>
            <w:r w:rsidRPr="000B5B66">
              <w:rPr>
                <w:rFonts w:ascii="Arial" w:hAnsi="Arial" w:cs="Arial"/>
                <w:sz w:val="24"/>
                <w:szCs w:val="24"/>
              </w:rPr>
              <w:t>step process for notifying and warning a c</w:t>
            </w:r>
            <w:r>
              <w:rPr>
                <w:rFonts w:ascii="Arial" w:hAnsi="Arial" w:cs="Arial"/>
                <w:sz w:val="24"/>
                <w:szCs w:val="24"/>
              </w:rPr>
              <w:t>onsumer</w:t>
            </w:r>
            <w:r w:rsidRPr="000B5B66">
              <w:rPr>
                <w:rFonts w:ascii="Arial" w:hAnsi="Arial" w:cs="Arial"/>
                <w:sz w:val="24"/>
                <w:szCs w:val="24"/>
              </w:rPr>
              <w:t xml:space="preserve"> about unacceptable or inappropriate behaviors or actions and allowing the c</w:t>
            </w:r>
            <w:r>
              <w:rPr>
                <w:rFonts w:ascii="Arial" w:hAnsi="Arial" w:cs="Arial"/>
                <w:sz w:val="24"/>
                <w:szCs w:val="24"/>
              </w:rPr>
              <w:t>onsumer</w:t>
            </w:r>
            <w:r w:rsidRPr="000B5B66">
              <w:rPr>
                <w:rFonts w:ascii="Arial" w:hAnsi="Arial" w:cs="Arial"/>
                <w:sz w:val="24"/>
                <w:szCs w:val="24"/>
              </w:rPr>
              <w:t xml:space="preserve"> to respond before discharging them from services. Some behaviors may result in immediate discharge.</w:t>
            </w:r>
          </w:p>
          <w:p w:rsidR="00DB0CB6" w:rsidRPr="000B5B66" w:rsidRDefault="00DB0CB6" w:rsidP="008579C9">
            <w:pPr>
              <w:spacing w:after="0"/>
              <w:jc w:val="both"/>
              <w:rPr>
                <w:rFonts w:ascii="Arial" w:hAnsi="Arial" w:cs="Arial"/>
                <w:sz w:val="24"/>
                <w:szCs w:val="24"/>
              </w:rPr>
            </w:pPr>
            <w:r w:rsidRPr="000B5B66">
              <w:rPr>
                <w:rFonts w:ascii="Arial" w:hAnsi="Arial" w:cs="Arial"/>
                <w:sz w:val="24"/>
                <w:szCs w:val="24"/>
              </w:rPr>
              <w:t>Consumers are entitled to access their files with some exceptions: agencies are not required to release psychotherapy notes, and if there is information in the file that could adversely affect the c</w:t>
            </w:r>
            <w:r>
              <w:rPr>
                <w:rFonts w:ascii="Arial" w:hAnsi="Arial" w:cs="Arial"/>
                <w:sz w:val="24"/>
                <w:szCs w:val="24"/>
              </w:rPr>
              <w:t>onsumer</w:t>
            </w:r>
            <w:r w:rsidRPr="000B5B66">
              <w:rPr>
                <w:rFonts w:ascii="Arial" w:hAnsi="Arial" w:cs="Arial"/>
                <w:sz w:val="24"/>
                <w:szCs w:val="24"/>
              </w:rPr>
              <w:t xml:space="preserve"> (as determined by a clinician) the agency may withhold that information but should make a summary available to the c</w:t>
            </w:r>
            <w:r>
              <w:rPr>
                <w:rFonts w:ascii="Arial" w:hAnsi="Arial" w:cs="Arial"/>
                <w:sz w:val="24"/>
                <w:szCs w:val="24"/>
              </w:rPr>
              <w:t>onsumer</w:t>
            </w:r>
            <w:r w:rsidRPr="000B5B66">
              <w:rPr>
                <w:rFonts w:ascii="Arial" w:hAnsi="Arial" w:cs="Arial"/>
                <w:sz w:val="24"/>
                <w:szCs w:val="24"/>
              </w:rPr>
              <w:t xml:space="preserve">. Agencies must </w:t>
            </w:r>
            <w:r w:rsidRPr="000B5B66">
              <w:rPr>
                <w:rFonts w:ascii="Arial" w:hAnsi="Arial" w:cs="Arial"/>
                <w:sz w:val="24"/>
                <w:szCs w:val="24"/>
              </w:rPr>
              <w:lastRenderedPageBreak/>
              <w:t>provide consumers with their policy for file access. The policy must at a minimum address how the c</w:t>
            </w:r>
            <w:r>
              <w:rPr>
                <w:rFonts w:ascii="Arial" w:hAnsi="Arial" w:cs="Arial"/>
                <w:sz w:val="24"/>
                <w:szCs w:val="24"/>
              </w:rPr>
              <w:t>onsumer</w:t>
            </w:r>
            <w:r w:rsidRPr="000B5B66">
              <w:rPr>
                <w:rFonts w:ascii="Arial" w:hAnsi="Arial" w:cs="Arial"/>
                <w:sz w:val="24"/>
                <w:szCs w:val="24"/>
              </w:rPr>
              <w:t xml:space="preserve"> should request a copy of the file (in writing or in person), the time frame for providing a copy of the file (cannot be longer than 30 days), and what information if any can be withheld.</w:t>
            </w:r>
          </w:p>
        </w:tc>
      </w:tr>
    </w:tbl>
    <w:p w:rsidR="00DB0CB6" w:rsidRDefault="00DB0CB6" w:rsidP="00B26D67">
      <w:pPr>
        <w:spacing w:after="0"/>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248"/>
        <w:gridCol w:w="648"/>
        <w:gridCol w:w="3942"/>
      </w:tblGrid>
      <w:tr w:rsidR="00AB2E2E" w:rsidTr="00DB0CB6">
        <w:tc>
          <w:tcPr>
            <w:tcW w:w="9558" w:type="dxa"/>
            <w:gridSpan w:val="4"/>
            <w:shd w:val="clear" w:color="auto" w:fill="17365D" w:themeFill="text2" w:themeFillShade="BF"/>
          </w:tcPr>
          <w:p w:rsidR="00AB2E2E" w:rsidRPr="001F30B2" w:rsidRDefault="00AB2E2E" w:rsidP="0069155E">
            <w:pPr>
              <w:pStyle w:val="Heading4"/>
              <w:spacing w:before="0"/>
              <w:outlineLvl w:val="3"/>
              <w:rPr>
                <w:bCs/>
              </w:rPr>
            </w:pPr>
            <w:r w:rsidRPr="0069155E">
              <w:rPr>
                <w:color w:val="FFFFFF" w:themeColor="background1"/>
                <w:sz w:val="28"/>
              </w:rPr>
              <w:t xml:space="preserve">2.0 Consumers Rights and Responsibilities </w:t>
            </w:r>
          </w:p>
        </w:tc>
      </w:tr>
      <w:tr w:rsidR="00AB2E2E" w:rsidTr="00DB0CB6">
        <w:tc>
          <w:tcPr>
            <w:tcW w:w="720" w:type="dxa"/>
          </w:tcPr>
          <w:p w:rsidR="00AB2E2E" w:rsidRDefault="00AB2E2E" w:rsidP="00C33AAA">
            <w:pPr>
              <w:rPr>
                <w:bCs w:val="0"/>
              </w:rPr>
            </w:pPr>
          </w:p>
        </w:tc>
        <w:tc>
          <w:tcPr>
            <w:tcW w:w="4248" w:type="dxa"/>
          </w:tcPr>
          <w:p w:rsidR="00AB2E2E" w:rsidRDefault="00AB2E2E" w:rsidP="00C33AAA">
            <w:pPr>
              <w:rPr>
                <w:bCs w:val="0"/>
              </w:rPr>
            </w:pPr>
          </w:p>
        </w:tc>
        <w:tc>
          <w:tcPr>
            <w:tcW w:w="648" w:type="dxa"/>
          </w:tcPr>
          <w:p w:rsidR="00AB2E2E" w:rsidRDefault="00AB2E2E" w:rsidP="00C33AAA">
            <w:pPr>
              <w:rPr>
                <w:bCs w:val="0"/>
              </w:rPr>
            </w:pPr>
          </w:p>
        </w:tc>
        <w:tc>
          <w:tcPr>
            <w:tcW w:w="3942" w:type="dxa"/>
          </w:tcPr>
          <w:p w:rsidR="00AB2E2E" w:rsidRDefault="00AB2E2E" w:rsidP="00C33AAA">
            <w:pPr>
              <w:rPr>
                <w:bCs w:val="0"/>
              </w:rPr>
            </w:pPr>
          </w:p>
        </w:tc>
      </w:tr>
      <w:tr w:rsidR="00AB2E2E" w:rsidTr="00DB0CB6">
        <w:tc>
          <w:tcPr>
            <w:tcW w:w="4968" w:type="dxa"/>
            <w:gridSpan w:val="2"/>
            <w:tcBorders>
              <w:bottom w:val="single" w:sz="12" w:space="0" w:color="17365D" w:themeColor="text2" w:themeShade="BF"/>
              <w:right w:val="single" w:sz="12" w:space="0" w:color="17365D" w:themeColor="text2" w:themeShade="BF"/>
            </w:tcBorders>
            <w:vAlign w:val="center"/>
          </w:tcPr>
          <w:p w:rsidR="00AB2E2E" w:rsidRPr="006E7960" w:rsidRDefault="00AB2E2E" w:rsidP="00C33AAA">
            <w:pPr>
              <w:jc w:val="center"/>
              <w:rPr>
                <w:rStyle w:val="BookTitle"/>
              </w:rPr>
            </w:pPr>
            <w:r w:rsidRPr="006E7960">
              <w:rPr>
                <w:rStyle w:val="BookTitle"/>
              </w:rPr>
              <w:t>Standards</w:t>
            </w:r>
          </w:p>
        </w:tc>
        <w:tc>
          <w:tcPr>
            <w:tcW w:w="4590" w:type="dxa"/>
            <w:gridSpan w:val="2"/>
            <w:tcBorders>
              <w:left w:val="single" w:sz="12" w:space="0" w:color="17365D" w:themeColor="text2" w:themeShade="BF"/>
              <w:bottom w:val="single" w:sz="12" w:space="0" w:color="17365D" w:themeColor="text2" w:themeShade="BF"/>
            </w:tcBorders>
            <w:vAlign w:val="center"/>
          </w:tcPr>
          <w:p w:rsidR="00AB2E2E" w:rsidRPr="006E7960" w:rsidRDefault="00AB2E2E" w:rsidP="00C33AAA">
            <w:pPr>
              <w:jc w:val="center"/>
              <w:rPr>
                <w:rStyle w:val="BookTitle"/>
              </w:rPr>
            </w:pPr>
            <w:r w:rsidRPr="006E7960">
              <w:rPr>
                <w:rStyle w:val="BookTitle"/>
              </w:rPr>
              <w:t>Measures</w:t>
            </w:r>
          </w:p>
        </w:tc>
      </w:tr>
      <w:tr w:rsidR="00AB2E2E" w:rsidTr="00DB0CB6">
        <w:tc>
          <w:tcPr>
            <w:tcW w:w="720" w:type="dxa"/>
            <w:tcBorders>
              <w:top w:val="single" w:sz="12" w:space="0" w:color="17365D" w:themeColor="text2" w:themeShade="BF"/>
              <w:bottom w:val="single" w:sz="12" w:space="0" w:color="17365D" w:themeColor="text2" w:themeShade="BF"/>
            </w:tcBorders>
          </w:tcPr>
          <w:p w:rsidR="00AB2E2E" w:rsidRPr="00E74196" w:rsidRDefault="00AB2E2E" w:rsidP="008015E1">
            <w:pPr>
              <w:jc w:val="left"/>
              <w:rPr>
                <w:bCs w:val="0"/>
                <w:szCs w:val="24"/>
              </w:rPr>
            </w:pPr>
            <w:r w:rsidRPr="00E74196">
              <w:rPr>
                <w:bCs w:val="0"/>
                <w:szCs w:val="24"/>
              </w:rPr>
              <w:t>2.1</w:t>
            </w:r>
          </w:p>
        </w:tc>
        <w:tc>
          <w:tcPr>
            <w:tcW w:w="424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082D89" w:rsidP="005C48D9">
            <w:pPr>
              <w:rPr>
                <w:bCs w:val="0"/>
                <w:szCs w:val="24"/>
              </w:rPr>
            </w:pPr>
            <w:r w:rsidRPr="00E74196">
              <w:rPr>
                <w:bCs w:val="0"/>
                <w:szCs w:val="24"/>
              </w:rPr>
              <w:t>Services are available to any individual who meets Ryan White Part A Program eligibility requirements.</w:t>
            </w:r>
            <w:r w:rsidR="005C48D9" w:rsidRPr="00E74196">
              <w:rPr>
                <w:bCs w:val="0"/>
                <w:szCs w:val="24"/>
              </w:rPr>
              <w:t xml:space="preserve"> </w:t>
            </w:r>
          </w:p>
          <w:p w:rsidR="00B32A01" w:rsidRPr="00E74196" w:rsidRDefault="00B32A01" w:rsidP="005C48D9">
            <w:pPr>
              <w:rPr>
                <w:bCs w:val="0"/>
                <w:szCs w:val="24"/>
              </w:rPr>
            </w:pPr>
          </w:p>
        </w:tc>
        <w:tc>
          <w:tcPr>
            <w:tcW w:w="648" w:type="dxa"/>
            <w:tcBorders>
              <w:top w:val="single" w:sz="12" w:space="0" w:color="17365D" w:themeColor="text2" w:themeShade="BF"/>
              <w:left w:val="single" w:sz="12" w:space="0" w:color="17365D" w:themeColor="text2" w:themeShade="BF"/>
              <w:bottom w:val="single" w:sz="12" w:space="0" w:color="17365D" w:themeColor="text2" w:themeShade="BF"/>
            </w:tcBorders>
          </w:tcPr>
          <w:p w:rsidR="00AB2E2E" w:rsidRPr="00E74196" w:rsidRDefault="0015014B" w:rsidP="006E7960">
            <w:pPr>
              <w:rPr>
                <w:bCs w:val="0"/>
                <w:szCs w:val="24"/>
              </w:rPr>
            </w:pPr>
            <w:r w:rsidRPr="00E74196">
              <w:rPr>
                <w:bCs w:val="0"/>
                <w:szCs w:val="24"/>
              </w:rPr>
              <w:t>2.1</w:t>
            </w:r>
          </w:p>
        </w:tc>
        <w:tc>
          <w:tcPr>
            <w:tcW w:w="3942" w:type="dxa"/>
            <w:tcBorders>
              <w:top w:val="single" w:sz="12" w:space="0" w:color="17365D" w:themeColor="text2" w:themeShade="BF"/>
              <w:bottom w:val="single" w:sz="12" w:space="0" w:color="17365D" w:themeColor="text2" w:themeShade="BF"/>
            </w:tcBorders>
          </w:tcPr>
          <w:p w:rsidR="00AB2E2E" w:rsidRPr="00E74196" w:rsidRDefault="00C47F9A" w:rsidP="006E7960">
            <w:pPr>
              <w:rPr>
                <w:bCs w:val="0"/>
                <w:szCs w:val="24"/>
              </w:rPr>
            </w:pPr>
            <w:r w:rsidRPr="00E74196">
              <w:rPr>
                <w:bCs w:val="0"/>
                <w:szCs w:val="24"/>
              </w:rPr>
              <w:t>Eligibility documentation including the Notice of Eligibility in PE record.</w:t>
            </w:r>
          </w:p>
        </w:tc>
      </w:tr>
      <w:tr w:rsidR="00AB2E2E" w:rsidTr="00DB0CB6">
        <w:tc>
          <w:tcPr>
            <w:tcW w:w="720" w:type="dxa"/>
            <w:tcBorders>
              <w:top w:val="single" w:sz="12" w:space="0" w:color="17365D" w:themeColor="text2" w:themeShade="BF"/>
              <w:bottom w:val="single" w:sz="12" w:space="0" w:color="17365D" w:themeColor="text2" w:themeShade="BF"/>
            </w:tcBorders>
          </w:tcPr>
          <w:p w:rsidR="00AB2E2E" w:rsidRPr="00E74196" w:rsidRDefault="0015014B" w:rsidP="008015E1">
            <w:pPr>
              <w:jc w:val="left"/>
              <w:rPr>
                <w:bCs w:val="0"/>
                <w:szCs w:val="24"/>
              </w:rPr>
            </w:pPr>
            <w:r w:rsidRPr="00E74196">
              <w:rPr>
                <w:bCs w:val="0"/>
                <w:szCs w:val="24"/>
              </w:rPr>
              <w:t>2.2</w:t>
            </w:r>
          </w:p>
        </w:tc>
        <w:tc>
          <w:tcPr>
            <w:tcW w:w="4248" w:type="dxa"/>
            <w:tcBorders>
              <w:top w:val="single" w:sz="12" w:space="0" w:color="17365D" w:themeColor="text2" w:themeShade="BF"/>
              <w:bottom w:val="single" w:sz="12" w:space="0" w:color="17365D" w:themeColor="text2" w:themeShade="BF"/>
              <w:right w:val="single" w:sz="12" w:space="0" w:color="17365D" w:themeColor="text2" w:themeShade="BF"/>
            </w:tcBorders>
          </w:tcPr>
          <w:p w:rsidR="00AB2E2E" w:rsidRPr="00E74196" w:rsidRDefault="00082D89" w:rsidP="006E7960">
            <w:pPr>
              <w:rPr>
                <w:bCs w:val="0"/>
                <w:szCs w:val="24"/>
              </w:rPr>
            </w:pPr>
            <w:r w:rsidRPr="00E74196">
              <w:rPr>
                <w:bCs w:val="0"/>
                <w:szCs w:val="24"/>
              </w:rPr>
              <w:t>Programs include input from consumers (and as appropriate, caregivers) in the design and evaluation of service delivery.</w:t>
            </w:r>
          </w:p>
        </w:tc>
        <w:tc>
          <w:tcPr>
            <w:tcW w:w="648" w:type="dxa"/>
            <w:tcBorders>
              <w:top w:val="single" w:sz="12" w:space="0" w:color="17365D" w:themeColor="text2" w:themeShade="BF"/>
              <w:left w:val="single" w:sz="12" w:space="0" w:color="17365D" w:themeColor="text2" w:themeShade="BF"/>
              <w:bottom w:val="single" w:sz="12" w:space="0" w:color="17365D" w:themeColor="text2" w:themeShade="BF"/>
            </w:tcBorders>
          </w:tcPr>
          <w:p w:rsidR="00AB2E2E" w:rsidRPr="00E74196" w:rsidRDefault="0015014B" w:rsidP="006E7960">
            <w:pPr>
              <w:rPr>
                <w:bCs w:val="0"/>
                <w:szCs w:val="24"/>
              </w:rPr>
            </w:pPr>
            <w:r w:rsidRPr="00E74196">
              <w:rPr>
                <w:bCs w:val="0"/>
                <w:szCs w:val="24"/>
              </w:rPr>
              <w:t>2.2</w:t>
            </w:r>
          </w:p>
        </w:tc>
        <w:tc>
          <w:tcPr>
            <w:tcW w:w="3942" w:type="dxa"/>
            <w:tcBorders>
              <w:top w:val="single" w:sz="12" w:space="0" w:color="17365D" w:themeColor="text2" w:themeShade="BF"/>
              <w:bottom w:val="single" w:sz="12" w:space="0" w:color="17365D" w:themeColor="text2" w:themeShade="BF"/>
            </w:tcBorders>
          </w:tcPr>
          <w:p w:rsidR="00DE4D08" w:rsidRDefault="0015014B" w:rsidP="005C48D9">
            <w:pPr>
              <w:rPr>
                <w:bCs w:val="0"/>
                <w:szCs w:val="24"/>
              </w:rPr>
            </w:pPr>
            <w:r w:rsidRPr="00E74196">
              <w:rPr>
                <w:bCs w:val="0"/>
                <w:szCs w:val="24"/>
              </w:rPr>
              <w:t>Documentation of meetings of consumer advisory boards, or other mechanisms for involving consumers in service planning and evaluation (e.g., satisfaction surveys, needs assessments) and regular reports to funder.</w:t>
            </w:r>
          </w:p>
          <w:p w:rsidR="00B32A01" w:rsidRPr="00E74196" w:rsidRDefault="00B32A01" w:rsidP="005C48D9">
            <w:pPr>
              <w:rPr>
                <w:bCs w:val="0"/>
                <w:szCs w:val="24"/>
              </w:rPr>
            </w:pPr>
          </w:p>
        </w:tc>
      </w:tr>
      <w:tr w:rsidR="00AB2E2E" w:rsidTr="00DB0CB6">
        <w:tc>
          <w:tcPr>
            <w:tcW w:w="720" w:type="dxa"/>
            <w:tcBorders>
              <w:top w:val="single" w:sz="12" w:space="0" w:color="17365D" w:themeColor="text2" w:themeShade="BF"/>
              <w:bottom w:val="single" w:sz="12" w:space="0" w:color="17365D" w:themeColor="text2" w:themeShade="BF"/>
            </w:tcBorders>
          </w:tcPr>
          <w:p w:rsidR="00AB2E2E" w:rsidRPr="00E74196" w:rsidRDefault="0015014B" w:rsidP="008015E1">
            <w:pPr>
              <w:jc w:val="left"/>
              <w:rPr>
                <w:bCs w:val="0"/>
                <w:szCs w:val="24"/>
              </w:rPr>
            </w:pPr>
            <w:r w:rsidRPr="00E74196">
              <w:rPr>
                <w:bCs w:val="0"/>
                <w:szCs w:val="24"/>
              </w:rPr>
              <w:t>2.3</w:t>
            </w:r>
          </w:p>
        </w:tc>
        <w:tc>
          <w:tcPr>
            <w:tcW w:w="4248" w:type="dxa"/>
            <w:tcBorders>
              <w:top w:val="single" w:sz="12" w:space="0" w:color="17365D" w:themeColor="text2" w:themeShade="BF"/>
              <w:bottom w:val="single" w:sz="12" w:space="0" w:color="17365D" w:themeColor="text2" w:themeShade="BF"/>
              <w:right w:val="single" w:sz="12" w:space="0" w:color="17365D" w:themeColor="text2" w:themeShade="BF"/>
            </w:tcBorders>
          </w:tcPr>
          <w:p w:rsidR="00AB2E2E" w:rsidRPr="00E74196" w:rsidRDefault="00C97170" w:rsidP="006E7960">
            <w:pPr>
              <w:rPr>
                <w:bCs w:val="0"/>
                <w:szCs w:val="24"/>
              </w:rPr>
            </w:pPr>
            <w:r w:rsidRPr="00E74196">
              <w:rPr>
                <w:bCs w:val="0"/>
                <w:szCs w:val="24"/>
              </w:rPr>
              <w:t>Services are accessible to consumers.</w:t>
            </w:r>
          </w:p>
        </w:tc>
        <w:tc>
          <w:tcPr>
            <w:tcW w:w="648" w:type="dxa"/>
            <w:tcBorders>
              <w:top w:val="single" w:sz="12" w:space="0" w:color="17365D" w:themeColor="text2" w:themeShade="BF"/>
              <w:left w:val="single" w:sz="12" w:space="0" w:color="17365D" w:themeColor="text2" w:themeShade="BF"/>
              <w:bottom w:val="single" w:sz="12" w:space="0" w:color="17365D" w:themeColor="text2" w:themeShade="BF"/>
            </w:tcBorders>
          </w:tcPr>
          <w:p w:rsidR="00AB2E2E" w:rsidRPr="00E74196" w:rsidRDefault="00C97170" w:rsidP="006E7960">
            <w:pPr>
              <w:rPr>
                <w:bCs w:val="0"/>
                <w:szCs w:val="24"/>
              </w:rPr>
            </w:pPr>
            <w:r w:rsidRPr="00E74196">
              <w:rPr>
                <w:bCs w:val="0"/>
                <w:szCs w:val="24"/>
              </w:rPr>
              <w:t>2.3</w:t>
            </w:r>
          </w:p>
        </w:tc>
        <w:tc>
          <w:tcPr>
            <w:tcW w:w="3942" w:type="dxa"/>
            <w:tcBorders>
              <w:top w:val="single" w:sz="12" w:space="0" w:color="17365D" w:themeColor="text2" w:themeShade="BF"/>
              <w:bottom w:val="single" w:sz="12" w:space="0" w:color="17365D" w:themeColor="text2" w:themeShade="BF"/>
            </w:tcBorders>
          </w:tcPr>
          <w:p w:rsidR="00DE4D08" w:rsidRDefault="00C97170" w:rsidP="005C48D9">
            <w:pPr>
              <w:rPr>
                <w:bCs w:val="0"/>
                <w:szCs w:val="24"/>
              </w:rPr>
            </w:pPr>
            <w:r w:rsidRPr="00E74196">
              <w:rPr>
                <w:bCs w:val="0"/>
                <w:szCs w:val="24"/>
              </w:rPr>
              <w:t>Site visit conducted by funder that includes, but is not limited to, review of hours of operation, location, proximity to transportation, and other accessibility factors.</w:t>
            </w:r>
          </w:p>
          <w:p w:rsidR="00B32A01" w:rsidRPr="00E74196" w:rsidRDefault="00B32A01" w:rsidP="005C48D9">
            <w:pPr>
              <w:rPr>
                <w:bCs w:val="0"/>
                <w:szCs w:val="24"/>
              </w:rPr>
            </w:pPr>
          </w:p>
        </w:tc>
      </w:tr>
      <w:tr w:rsidR="00AB2E2E" w:rsidTr="00DB0CB6">
        <w:tc>
          <w:tcPr>
            <w:tcW w:w="720" w:type="dxa"/>
            <w:tcBorders>
              <w:top w:val="single" w:sz="12" w:space="0" w:color="17365D" w:themeColor="text2" w:themeShade="BF"/>
              <w:bottom w:val="single" w:sz="12" w:space="0" w:color="17365D" w:themeColor="text2" w:themeShade="BF"/>
            </w:tcBorders>
          </w:tcPr>
          <w:p w:rsidR="00AB2E2E" w:rsidRPr="00E74196" w:rsidRDefault="00C97170" w:rsidP="008015E1">
            <w:pPr>
              <w:jc w:val="left"/>
              <w:rPr>
                <w:bCs w:val="0"/>
                <w:szCs w:val="24"/>
              </w:rPr>
            </w:pPr>
            <w:r w:rsidRPr="00E74196">
              <w:rPr>
                <w:bCs w:val="0"/>
                <w:szCs w:val="24"/>
              </w:rPr>
              <w:t>2.4</w:t>
            </w:r>
          </w:p>
        </w:tc>
        <w:tc>
          <w:tcPr>
            <w:tcW w:w="4248" w:type="dxa"/>
            <w:tcBorders>
              <w:top w:val="single" w:sz="12" w:space="0" w:color="17365D" w:themeColor="text2" w:themeShade="BF"/>
              <w:bottom w:val="single" w:sz="12" w:space="0" w:color="17365D" w:themeColor="text2" w:themeShade="BF"/>
              <w:right w:val="single" w:sz="12" w:space="0" w:color="17365D" w:themeColor="text2" w:themeShade="BF"/>
            </w:tcBorders>
          </w:tcPr>
          <w:p w:rsidR="00082D89" w:rsidRPr="00E74196" w:rsidRDefault="00082D89" w:rsidP="006E7960">
            <w:pPr>
              <w:rPr>
                <w:rFonts w:eastAsia="Times New Roman" w:cs="Arial"/>
                <w:szCs w:val="24"/>
              </w:rPr>
            </w:pPr>
            <w:r w:rsidRPr="00E74196">
              <w:rPr>
                <w:rFonts w:eastAsia="Times New Roman" w:cs="Arial"/>
                <w:szCs w:val="24"/>
              </w:rPr>
              <w:t>Program provides each consumer a copy of the Consumer Rights and Responsibilities and grievance document and as well the Consumer Information check list  that informs him/her of the following:</w:t>
            </w:r>
          </w:p>
          <w:p w:rsidR="00082D89" w:rsidRPr="00E74196" w:rsidRDefault="00082D89" w:rsidP="001B1B43">
            <w:pPr>
              <w:pStyle w:val="ListParagraph"/>
              <w:numPr>
                <w:ilvl w:val="0"/>
                <w:numId w:val="32"/>
              </w:numPr>
              <w:ind w:left="648"/>
              <w:rPr>
                <w:rFonts w:eastAsia="Times New Roman" w:cs="Arial"/>
                <w:szCs w:val="24"/>
              </w:rPr>
            </w:pPr>
            <w:r w:rsidRPr="00E74196">
              <w:rPr>
                <w:rFonts w:eastAsia="Times New Roman" w:cs="Arial"/>
                <w:szCs w:val="24"/>
              </w:rPr>
              <w:t>The EMA’s consumer confidentiality policy;</w:t>
            </w:r>
          </w:p>
          <w:p w:rsidR="00082D89" w:rsidRPr="00E74196" w:rsidRDefault="00082D89" w:rsidP="001B1B43">
            <w:pPr>
              <w:pStyle w:val="ListParagraph"/>
              <w:numPr>
                <w:ilvl w:val="0"/>
                <w:numId w:val="32"/>
              </w:numPr>
              <w:ind w:left="648"/>
              <w:rPr>
                <w:rFonts w:eastAsia="Times New Roman" w:cs="Arial"/>
                <w:szCs w:val="24"/>
              </w:rPr>
            </w:pPr>
            <w:r w:rsidRPr="00E74196">
              <w:rPr>
                <w:rFonts w:eastAsia="Times New Roman" w:cs="Arial"/>
                <w:szCs w:val="24"/>
              </w:rPr>
              <w:t>The EMA’s expectations of the consumer as a consumer of services;</w:t>
            </w:r>
          </w:p>
          <w:p w:rsidR="00082D89" w:rsidRPr="00E74196" w:rsidRDefault="00082D89" w:rsidP="001B1B43">
            <w:pPr>
              <w:pStyle w:val="ListParagraph"/>
              <w:numPr>
                <w:ilvl w:val="0"/>
                <w:numId w:val="32"/>
              </w:numPr>
              <w:ind w:left="648"/>
              <w:rPr>
                <w:rFonts w:eastAsia="Times New Roman" w:cs="Arial"/>
                <w:szCs w:val="24"/>
              </w:rPr>
            </w:pPr>
            <w:r w:rsidRPr="00E74196">
              <w:rPr>
                <w:rFonts w:eastAsia="Times New Roman" w:cs="Arial"/>
                <w:szCs w:val="24"/>
              </w:rPr>
              <w:t>The consumer’s right to file a grievance;</w:t>
            </w:r>
          </w:p>
          <w:p w:rsidR="00082D89" w:rsidRPr="00E74196" w:rsidRDefault="00082D89" w:rsidP="001B1B43">
            <w:pPr>
              <w:pStyle w:val="ListParagraph"/>
              <w:numPr>
                <w:ilvl w:val="0"/>
                <w:numId w:val="32"/>
              </w:numPr>
              <w:ind w:left="648"/>
              <w:rPr>
                <w:rFonts w:eastAsia="Times New Roman" w:cs="Arial"/>
                <w:szCs w:val="24"/>
              </w:rPr>
            </w:pPr>
            <w:r w:rsidRPr="00E74196">
              <w:rPr>
                <w:rFonts w:eastAsia="Times New Roman" w:cs="Arial"/>
                <w:szCs w:val="24"/>
              </w:rPr>
              <w:t>The consumer’s right to receive no</w:t>
            </w:r>
            <w:r w:rsidRPr="00E74196">
              <w:rPr>
                <w:rFonts w:ascii="Cambria Math" w:eastAsia="Times New Roman" w:hAnsi="Cambria Math" w:cs="Cambria Math"/>
                <w:szCs w:val="24"/>
              </w:rPr>
              <w:t>‐</w:t>
            </w:r>
            <w:r w:rsidRPr="00E74196">
              <w:rPr>
                <w:rFonts w:eastAsia="Times New Roman" w:cs="Arial"/>
                <w:szCs w:val="24"/>
              </w:rPr>
              <w:t>cost interpreter services;</w:t>
            </w:r>
          </w:p>
          <w:p w:rsidR="00082D89" w:rsidRPr="00E74196" w:rsidRDefault="00082D89" w:rsidP="001B1B43">
            <w:pPr>
              <w:pStyle w:val="ListParagraph"/>
              <w:numPr>
                <w:ilvl w:val="0"/>
                <w:numId w:val="32"/>
              </w:numPr>
              <w:ind w:left="648"/>
              <w:rPr>
                <w:rFonts w:eastAsia="Times New Roman" w:cs="Arial"/>
                <w:szCs w:val="24"/>
              </w:rPr>
            </w:pPr>
            <w:r w:rsidRPr="00E74196">
              <w:rPr>
                <w:rFonts w:eastAsia="Times New Roman" w:cs="Arial"/>
                <w:szCs w:val="24"/>
              </w:rPr>
              <w:t xml:space="preserve">The reasons for which a consumer may be discharged </w:t>
            </w:r>
            <w:r w:rsidRPr="00E74196">
              <w:rPr>
                <w:rFonts w:eastAsia="Times New Roman" w:cs="Arial"/>
                <w:szCs w:val="24"/>
              </w:rPr>
              <w:lastRenderedPageBreak/>
              <w:t>from services, including a due process for involuntary discharge; and,</w:t>
            </w:r>
          </w:p>
          <w:p w:rsidR="00DE4D08" w:rsidRDefault="00082D89" w:rsidP="005C48D9">
            <w:pPr>
              <w:pStyle w:val="ListParagraph"/>
              <w:numPr>
                <w:ilvl w:val="0"/>
                <w:numId w:val="32"/>
              </w:numPr>
              <w:ind w:left="648"/>
              <w:rPr>
                <w:rFonts w:eastAsia="Times New Roman" w:cs="Arial"/>
                <w:szCs w:val="24"/>
              </w:rPr>
            </w:pPr>
            <w:r w:rsidRPr="00E74196">
              <w:rPr>
                <w:rFonts w:eastAsia="Times New Roman" w:cs="Arial"/>
                <w:szCs w:val="24"/>
              </w:rPr>
              <w:t>The providers Notice of Privacy Practice</w:t>
            </w:r>
          </w:p>
          <w:p w:rsidR="00B32A01" w:rsidRPr="00E74196" w:rsidRDefault="00B32A01" w:rsidP="00B32A01">
            <w:pPr>
              <w:pStyle w:val="ListParagraph"/>
              <w:ind w:left="648"/>
              <w:rPr>
                <w:rFonts w:eastAsia="Times New Roman" w:cs="Arial"/>
                <w:szCs w:val="24"/>
              </w:rPr>
            </w:pPr>
          </w:p>
        </w:tc>
        <w:tc>
          <w:tcPr>
            <w:tcW w:w="648" w:type="dxa"/>
            <w:tcBorders>
              <w:top w:val="single" w:sz="12" w:space="0" w:color="17365D" w:themeColor="text2" w:themeShade="BF"/>
              <w:left w:val="single" w:sz="12" w:space="0" w:color="17365D" w:themeColor="text2" w:themeShade="BF"/>
              <w:bottom w:val="single" w:sz="12" w:space="0" w:color="17365D" w:themeColor="text2" w:themeShade="BF"/>
            </w:tcBorders>
          </w:tcPr>
          <w:p w:rsidR="00AB2E2E" w:rsidRPr="00E74196" w:rsidRDefault="00C97170" w:rsidP="006E7960">
            <w:pPr>
              <w:rPr>
                <w:bCs w:val="0"/>
                <w:szCs w:val="24"/>
              </w:rPr>
            </w:pPr>
            <w:r w:rsidRPr="00E74196">
              <w:rPr>
                <w:bCs w:val="0"/>
                <w:szCs w:val="24"/>
              </w:rPr>
              <w:lastRenderedPageBreak/>
              <w:t>2.4</w:t>
            </w:r>
          </w:p>
        </w:tc>
        <w:tc>
          <w:tcPr>
            <w:tcW w:w="3942" w:type="dxa"/>
            <w:tcBorders>
              <w:top w:val="single" w:sz="12" w:space="0" w:color="17365D" w:themeColor="text2" w:themeShade="BF"/>
              <w:bottom w:val="single" w:sz="12" w:space="0" w:color="17365D" w:themeColor="text2" w:themeShade="BF"/>
            </w:tcBorders>
          </w:tcPr>
          <w:p w:rsidR="00AB2E2E" w:rsidRPr="00E74196" w:rsidRDefault="00C47F9A" w:rsidP="006E7960">
            <w:pPr>
              <w:rPr>
                <w:bCs w:val="0"/>
                <w:szCs w:val="24"/>
              </w:rPr>
            </w:pPr>
            <w:r w:rsidRPr="00E74196">
              <w:rPr>
                <w:rFonts w:cs="Arial"/>
                <w:szCs w:val="24"/>
              </w:rPr>
              <w:t>Copy of Consumers Rights and Responsibilities and grievance document and the Consumer Information check list is given to consumers; a copy of the form (or a signature/acknowledgement page) is signed by consumer and kept in PE record.</w:t>
            </w:r>
          </w:p>
        </w:tc>
      </w:tr>
      <w:tr w:rsidR="00AB2E2E" w:rsidTr="00DB0CB6">
        <w:trPr>
          <w:trHeight w:val="1680"/>
        </w:trPr>
        <w:tc>
          <w:tcPr>
            <w:tcW w:w="720" w:type="dxa"/>
            <w:tcBorders>
              <w:top w:val="single" w:sz="12" w:space="0" w:color="17365D" w:themeColor="text2" w:themeShade="BF"/>
              <w:bottom w:val="single" w:sz="12" w:space="0" w:color="17365D" w:themeColor="text2" w:themeShade="BF"/>
            </w:tcBorders>
          </w:tcPr>
          <w:p w:rsidR="00AB2E2E" w:rsidRPr="00E74196" w:rsidRDefault="00C97170" w:rsidP="008015E1">
            <w:pPr>
              <w:jc w:val="left"/>
              <w:rPr>
                <w:bCs w:val="0"/>
                <w:szCs w:val="24"/>
              </w:rPr>
            </w:pPr>
            <w:r w:rsidRPr="00E74196">
              <w:rPr>
                <w:bCs w:val="0"/>
                <w:szCs w:val="24"/>
              </w:rPr>
              <w:lastRenderedPageBreak/>
              <w:t>2.5</w:t>
            </w:r>
          </w:p>
        </w:tc>
        <w:tc>
          <w:tcPr>
            <w:tcW w:w="424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6B29BF" w:rsidP="005C48D9">
            <w:pPr>
              <w:rPr>
                <w:rFonts w:cs="Arial"/>
                <w:szCs w:val="24"/>
              </w:rPr>
            </w:pPr>
            <w:r w:rsidRPr="00E74196">
              <w:rPr>
                <w:rFonts w:cs="Arial"/>
                <w:szCs w:val="24"/>
              </w:rPr>
              <w:t>Consumers have the right to access their file, with the exception of psychotherapy notes and information that could adversely affect the consum</w:t>
            </w:r>
            <w:r w:rsidR="00DE4D08" w:rsidRPr="00E74196">
              <w:rPr>
                <w:rFonts w:cs="Arial"/>
                <w:szCs w:val="24"/>
              </w:rPr>
              <w:t>er as determined by a clinician.</w:t>
            </w:r>
          </w:p>
          <w:p w:rsidR="00B32A01" w:rsidRPr="00B32A01" w:rsidRDefault="00B32A01" w:rsidP="005C48D9">
            <w:pPr>
              <w:rPr>
                <w:bCs w:val="0"/>
                <w:szCs w:val="24"/>
              </w:rPr>
            </w:pPr>
          </w:p>
        </w:tc>
        <w:tc>
          <w:tcPr>
            <w:tcW w:w="648" w:type="dxa"/>
            <w:tcBorders>
              <w:top w:val="single" w:sz="12" w:space="0" w:color="17365D" w:themeColor="text2" w:themeShade="BF"/>
              <w:left w:val="single" w:sz="12" w:space="0" w:color="17365D" w:themeColor="text2" w:themeShade="BF"/>
              <w:bottom w:val="single" w:sz="12" w:space="0" w:color="17365D" w:themeColor="text2" w:themeShade="BF"/>
            </w:tcBorders>
          </w:tcPr>
          <w:p w:rsidR="00AB2E2E" w:rsidRPr="00E74196" w:rsidRDefault="00C97170" w:rsidP="006E7960">
            <w:pPr>
              <w:rPr>
                <w:bCs w:val="0"/>
                <w:szCs w:val="24"/>
              </w:rPr>
            </w:pPr>
            <w:r w:rsidRPr="00E74196">
              <w:rPr>
                <w:bCs w:val="0"/>
                <w:szCs w:val="24"/>
              </w:rPr>
              <w:t>2.5</w:t>
            </w:r>
          </w:p>
        </w:tc>
        <w:tc>
          <w:tcPr>
            <w:tcW w:w="3942" w:type="dxa"/>
            <w:tcBorders>
              <w:top w:val="single" w:sz="12" w:space="0" w:color="17365D" w:themeColor="text2" w:themeShade="BF"/>
              <w:bottom w:val="single" w:sz="12" w:space="0" w:color="17365D" w:themeColor="text2" w:themeShade="BF"/>
            </w:tcBorders>
          </w:tcPr>
          <w:p w:rsidR="00AB2E2E" w:rsidRPr="00E74196" w:rsidRDefault="006B29BF" w:rsidP="006E7960">
            <w:pPr>
              <w:rPr>
                <w:bCs w:val="0"/>
                <w:szCs w:val="24"/>
              </w:rPr>
            </w:pPr>
            <w:r w:rsidRPr="00E74196">
              <w:rPr>
                <w:rFonts w:cs="Arial"/>
                <w:szCs w:val="24"/>
              </w:rPr>
              <w:t>Copy of Consumers Rights and Responsibilities and grievance is signed by consumer and kept in PE records.</w:t>
            </w:r>
          </w:p>
        </w:tc>
      </w:tr>
      <w:tr w:rsidR="00AB2E2E" w:rsidTr="00DB0CB6">
        <w:trPr>
          <w:trHeight w:val="2013"/>
        </w:trPr>
        <w:tc>
          <w:tcPr>
            <w:tcW w:w="720" w:type="dxa"/>
            <w:tcBorders>
              <w:top w:val="single" w:sz="12" w:space="0" w:color="17365D" w:themeColor="text2" w:themeShade="BF"/>
              <w:bottom w:val="single" w:sz="12" w:space="0" w:color="17365D" w:themeColor="text2" w:themeShade="BF"/>
            </w:tcBorders>
          </w:tcPr>
          <w:p w:rsidR="00AB2E2E" w:rsidRPr="00E74196" w:rsidRDefault="00C97170" w:rsidP="008015E1">
            <w:pPr>
              <w:jc w:val="left"/>
              <w:rPr>
                <w:bCs w:val="0"/>
                <w:szCs w:val="24"/>
              </w:rPr>
            </w:pPr>
            <w:r w:rsidRPr="00E74196">
              <w:rPr>
                <w:bCs w:val="0"/>
                <w:szCs w:val="24"/>
              </w:rPr>
              <w:t>2.6</w:t>
            </w:r>
          </w:p>
        </w:tc>
        <w:tc>
          <w:tcPr>
            <w:tcW w:w="4248" w:type="dxa"/>
            <w:tcBorders>
              <w:top w:val="single" w:sz="12" w:space="0" w:color="17365D" w:themeColor="text2" w:themeShade="BF"/>
              <w:bottom w:val="single" w:sz="12" w:space="0" w:color="17365D" w:themeColor="text2" w:themeShade="BF"/>
              <w:right w:val="single" w:sz="12" w:space="0" w:color="17365D" w:themeColor="text2" w:themeShade="BF"/>
            </w:tcBorders>
          </w:tcPr>
          <w:p w:rsidR="00AB2E2E" w:rsidRPr="00E74196" w:rsidRDefault="00C97170" w:rsidP="006E7960">
            <w:pPr>
              <w:rPr>
                <w:bCs w:val="0"/>
                <w:szCs w:val="24"/>
              </w:rPr>
            </w:pPr>
            <w:r w:rsidRPr="00E74196">
              <w:rPr>
                <w:bCs w:val="0"/>
                <w:szCs w:val="24"/>
              </w:rPr>
              <w:t>Operating procedures affecting consumer shall be posted.</w:t>
            </w:r>
          </w:p>
        </w:tc>
        <w:tc>
          <w:tcPr>
            <w:tcW w:w="648" w:type="dxa"/>
            <w:tcBorders>
              <w:top w:val="single" w:sz="12" w:space="0" w:color="17365D" w:themeColor="text2" w:themeShade="BF"/>
              <w:left w:val="single" w:sz="12" w:space="0" w:color="17365D" w:themeColor="text2" w:themeShade="BF"/>
              <w:bottom w:val="single" w:sz="12" w:space="0" w:color="17365D" w:themeColor="text2" w:themeShade="BF"/>
            </w:tcBorders>
          </w:tcPr>
          <w:p w:rsidR="00AB2E2E" w:rsidRPr="00E74196" w:rsidRDefault="00C97170" w:rsidP="006E7960">
            <w:pPr>
              <w:rPr>
                <w:bCs w:val="0"/>
                <w:szCs w:val="24"/>
              </w:rPr>
            </w:pPr>
            <w:r w:rsidRPr="00E74196">
              <w:rPr>
                <w:bCs w:val="0"/>
                <w:szCs w:val="24"/>
              </w:rPr>
              <w:t>2.6</w:t>
            </w:r>
          </w:p>
        </w:tc>
        <w:tc>
          <w:tcPr>
            <w:tcW w:w="3942" w:type="dxa"/>
            <w:tcBorders>
              <w:top w:val="single" w:sz="12" w:space="0" w:color="17365D" w:themeColor="text2" w:themeShade="BF"/>
              <w:bottom w:val="single" w:sz="12" w:space="0" w:color="17365D" w:themeColor="text2" w:themeShade="BF"/>
            </w:tcBorders>
          </w:tcPr>
          <w:p w:rsidR="00C47F9A" w:rsidRPr="00E74196" w:rsidRDefault="00C47F9A" w:rsidP="006E7960">
            <w:pPr>
              <w:rPr>
                <w:bCs w:val="0"/>
                <w:szCs w:val="24"/>
              </w:rPr>
            </w:pPr>
            <w:r w:rsidRPr="00E74196">
              <w:rPr>
                <w:bCs w:val="0"/>
                <w:szCs w:val="24"/>
              </w:rPr>
              <w:t>The following shall be posted in an area to which consumers have free access:</w:t>
            </w:r>
          </w:p>
          <w:p w:rsidR="00DE4D08" w:rsidRDefault="00C47F9A" w:rsidP="005C48D9">
            <w:pPr>
              <w:rPr>
                <w:szCs w:val="24"/>
              </w:rPr>
            </w:pPr>
            <w:r w:rsidRPr="00E74196">
              <w:rPr>
                <w:szCs w:val="24"/>
              </w:rPr>
              <w:t>Hours of Operation, Grievance Procedures, Consumer’s Bill of Rights and Responsibilities, CAB meeting notices.</w:t>
            </w:r>
          </w:p>
          <w:p w:rsidR="00B32A01" w:rsidRPr="00B32A01" w:rsidRDefault="00B32A01" w:rsidP="005C48D9">
            <w:pPr>
              <w:rPr>
                <w:szCs w:val="24"/>
              </w:rPr>
            </w:pPr>
          </w:p>
        </w:tc>
      </w:tr>
    </w:tbl>
    <w:p w:rsidR="00AB2E2E" w:rsidRDefault="00AB2E2E" w:rsidP="00A05A66">
      <w:pPr>
        <w:spacing w:after="0" w:line="240" w:lineRule="auto"/>
        <w:jc w:val="both"/>
        <w:rPr>
          <w:rFonts w:ascii="Arial" w:eastAsia="Calibri" w:hAnsi="Arial" w:cs="Times New Roman"/>
          <w:bCs/>
          <w:sz w:val="24"/>
          <w:szCs w:val="20"/>
        </w:rPr>
      </w:pPr>
    </w:p>
    <w:tbl>
      <w:tblPr>
        <w:tblStyle w:val="TableGrid"/>
        <w:tblW w:w="0" w:type="auto"/>
        <w:tblInd w:w="-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FC14D3" w:rsidTr="006E7960">
        <w:tc>
          <w:tcPr>
            <w:tcW w:w="9648" w:type="dxa"/>
            <w:tcBorders>
              <w:top w:val="single" w:sz="12" w:space="0" w:color="17365D" w:themeColor="text2" w:themeShade="BF"/>
              <w:bottom w:val="single" w:sz="12" w:space="0" w:color="17365D" w:themeColor="text2" w:themeShade="BF"/>
            </w:tcBorders>
          </w:tcPr>
          <w:p w:rsidR="00FC14D3" w:rsidRPr="00FC14D3" w:rsidRDefault="00FC14D3" w:rsidP="0069155E">
            <w:pPr>
              <w:pStyle w:val="Heading3"/>
              <w:spacing w:before="0"/>
              <w:outlineLvl w:val="2"/>
              <w:rPr>
                <w:bCs/>
              </w:rPr>
            </w:pPr>
            <w:bookmarkStart w:id="8" w:name="_Toc489280860"/>
            <w:r w:rsidRPr="0069155E">
              <w:rPr>
                <w:sz w:val="28"/>
              </w:rPr>
              <w:t>3.0 Personnel</w:t>
            </w:r>
            <w:bookmarkEnd w:id="8"/>
          </w:p>
        </w:tc>
      </w:tr>
    </w:tbl>
    <w:p w:rsidR="00521A55" w:rsidRDefault="00521A55" w:rsidP="00521A55">
      <w:pPr>
        <w:spacing w:after="0" w:line="240" w:lineRule="auto"/>
      </w:pPr>
    </w:p>
    <w:tbl>
      <w:tblPr>
        <w:tblW w:w="9630" w:type="dxa"/>
        <w:tblInd w:w="-72" w:type="dxa"/>
        <w:tblLook w:val="04A0" w:firstRow="1" w:lastRow="0" w:firstColumn="1" w:lastColumn="0" w:noHBand="0" w:noVBand="1"/>
      </w:tblPr>
      <w:tblGrid>
        <w:gridCol w:w="9630"/>
      </w:tblGrid>
      <w:tr w:rsidR="00C47F9A" w:rsidRPr="00C47F9A" w:rsidTr="00DB0CB6">
        <w:trPr>
          <w:trHeight w:val="639"/>
        </w:trPr>
        <w:tc>
          <w:tcPr>
            <w:tcW w:w="9630" w:type="dxa"/>
            <w:shd w:val="clear" w:color="auto" w:fill="auto"/>
          </w:tcPr>
          <w:p w:rsidR="00C47F9A" w:rsidRPr="00C47F9A" w:rsidRDefault="00C47F9A" w:rsidP="00B32A01">
            <w:pPr>
              <w:spacing w:after="0" w:line="240" w:lineRule="auto"/>
              <w:jc w:val="both"/>
              <w:rPr>
                <w:rFonts w:ascii="Arial" w:eastAsia="Times New Roman" w:hAnsi="Arial" w:cs="Arial"/>
                <w:sz w:val="24"/>
                <w:szCs w:val="24"/>
              </w:rPr>
            </w:pPr>
            <w:r w:rsidRPr="00C47F9A">
              <w:rPr>
                <w:rFonts w:ascii="Arial" w:eastAsia="Times New Roman" w:hAnsi="Arial" w:cs="Arial"/>
                <w:sz w:val="24"/>
                <w:szCs w:val="24"/>
              </w:rPr>
              <w:t>The objectives of the standards of care for personnel are to:</w:t>
            </w:r>
          </w:p>
          <w:p w:rsidR="00C47F9A" w:rsidRPr="00C47F9A" w:rsidRDefault="006B29BF" w:rsidP="001B1B43">
            <w:pPr>
              <w:numPr>
                <w:ilvl w:val="0"/>
                <w:numId w:val="16"/>
              </w:numPr>
              <w:spacing w:after="0"/>
              <w:jc w:val="both"/>
              <w:rPr>
                <w:rFonts w:ascii="Arial" w:eastAsia="Times New Roman" w:hAnsi="Arial" w:cs="Arial"/>
                <w:sz w:val="24"/>
                <w:szCs w:val="24"/>
              </w:rPr>
            </w:pPr>
            <w:r w:rsidRPr="00C47F9A">
              <w:rPr>
                <w:rFonts w:ascii="Arial" w:eastAsia="Times New Roman" w:hAnsi="Arial" w:cs="Arial"/>
                <w:sz w:val="24"/>
                <w:szCs w:val="24"/>
              </w:rPr>
              <w:t>Provide consumers with access to the highest quality of care through qualified staff;</w:t>
            </w:r>
          </w:p>
          <w:p w:rsidR="00C47F9A" w:rsidRPr="00C47F9A" w:rsidRDefault="006B29BF" w:rsidP="001B1B43">
            <w:pPr>
              <w:numPr>
                <w:ilvl w:val="0"/>
                <w:numId w:val="16"/>
              </w:numPr>
              <w:spacing w:after="0"/>
              <w:jc w:val="both"/>
              <w:rPr>
                <w:rFonts w:ascii="Arial" w:eastAsia="Times New Roman" w:hAnsi="Arial" w:cs="Arial"/>
                <w:sz w:val="24"/>
                <w:szCs w:val="24"/>
              </w:rPr>
            </w:pPr>
            <w:r w:rsidRPr="00C47F9A">
              <w:rPr>
                <w:rFonts w:ascii="Arial" w:eastAsia="Times New Roman" w:hAnsi="Arial" w:cs="Arial"/>
                <w:sz w:val="24"/>
                <w:szCs w:val="24"/>
              </w:rPr>
              <w:t>Inform staff of their job responsibilities; and</w:t>
            </w:r>
          </w:p>
          <w:p w:rsidR="00C47F9A" w:rsidRPr="00C47F9A" w:rsidRDefault="006B29BF" w:rsidP="001B1B43">
            <w:pPr>
              <w:numPr>
                <w:ilvl w:val="0"/>
                <w:numId w:val="16"/>
              </w:numPr>
              <w:spacing w:after="0"/>
              <w:jc w:val="both"/>
              <w:rPr>
                <w:rFonts w:ascii="Arial" w:eastAsia="Times New Roman" w:hAnsi="Arial" w:cs="Arial"/>
                <w:sz w:val="24"/>
                <w:szCs w:val="24"/>
              </w:rPr>
            </w:pPr>
            <w:r w:rsidRPr="00C47F9A">
              <w:rPr>
                <w:rFonts w:ascii="Arial" w:eastAsia="Times New Roman" w:hAnsi="Arial" w:cs="Arial"/>
                <w:sz w:val="24"/>
                <w:szCs w:val="24"/>
              </w:rPr>
              <w:t>Support staff with training and supervision to enable them to perform their jobs well.</w:t>
            </w:r>
          </w:p>
          <w:p w:rsidR="00AC0614" w:rsidRDefault="006B29BF" w:rsidP="006E7960">
            <w:pPr>
              <w:spacing w:before="240" w:after="0" w:line="240" w:lineRule="auto"/>
              <w:jc w:val="both"/>
              <w:rPr>
                <w:rFonts w:ascii="Arial" w:eastAsia="Times New Roman" w:hAnsi="Arial" w:cs="Arial"/>
                <w:sz w:val="24"/>
                <w:szCs w:val="24"/>
              </w:rPr>
            </w:pPr>
            <w:r w:rsidRPr="006B29BF">
              <w:rPr>
                <w:rFonts w:ascii="Arial" w:eastAsia="Times New Roman" w:hAnsi="Arial" w:cs="Arial"/>
                <w:sz w:val="24"/>
                <w:szCs w:val="24"/>
              </w:rPr>
              <w:t xml:space="preserve">All staff and supervisors will be given and will sign a written job description with specific minimum requirements for their position. Agencies are responsible for providing staff with supervision and training to develop capacities needed for effective job performance. </w:t>
            </w:r>
          </w:p>
          <w:p w:rsidR="00AC0614" w:rsidRDefault="006B29BF" w:rsidP="006E7960">
            <w:pPr>
              <w:spacing w:before="240" w:after="0" w:line="240" w:lineRule="auto"/>
              <w:jc w:val="both"/>
              <w:rPr>
                <w:rFonts w:ascii="Arial" w:eastAsia="Times New Roman" w:hAnsi="Arial" w:cs="Arial"/>
                <w:sz w:val="24"/>
                <w:szCs w:val="24"/>
              </w:rPr>
            </w:pPr>
            <w:r w:rsidRPr="006B29BF">
              <w:rPr>
                <w:rFonts w:ascii="Arial" w:eastAsia="Times New Roman" w:hAnsi="Arial" w:cs="Arial"/>
                <w:sz w:val="24"/>
                <w:szCs w:val="24"/>
              </w:rPr>
              <w:t xml:space="preserve">At a minimum, all staff should be able to provide appropriate care to consumers infected/affected by HIV/AIDS, be able to complete all documentation required by their position, and have previous experience (or a plan for acquiring experience) in the appropriate service/treatment modality (for clinical staff). Clinical staff must be licensed or registered as required for the services they provide. </w:t>
            </w:r>
          </w:p>
          <w:p w:rsidR="006B29BF" w:rsidRPr="006B29BF" w:rsidRDefault="006B29BF" w:rsidP="006E7960">
            <w:pPr>
              <w:spacing w:before="240" w:after="0" w:line="240" w:lineRule="auto"/>
              <w:jc w:val="both"/>
              <w:rPr>
                <w:rFonts w:ascii="Arial" w:eastAsia="Times New Roman" w:hAnsi="Arial" w:cs="Arial"/>
                <w:sz w:val="24"/>
                <w:szCs w:val="24"/>
              </w:rPr>
            </w:pPr>
            <w:r w:rsidRPr="006B29BF">
              <w:rPr>
                <w:rFonts w:ascii="Arial" w:eastAsia="Times New Roman" w:hAnsi="Arial" w:cs="Arial"/>
                <w:sz w:val="24"/>
                <w:szCs w:val="24"/>
              </w:rPr>
              <w:t>See the attached service specific standards for additional competencies for service categories.</w:t>
            </w:r>
          </w:p>
          <w:p w:rsidR="00AC0614" w:rsidRDefault="006B29BF" w:rsidP="006E7960">
            <w:pPr>
              <w:spacing w:before="240" w:after="0" w:line="240" w:lineRule="auto"/>
              <w:jc w:val="both"/>
              <w:rPr>
                <w:rFonts w:ascii="Arial" w:eastAsia="Times New Roman" w:hAnsi="Arial" w:cs="Arial"/>
                <w:sz w:val="24"/>
                <w:szCs w:val="24"/>
              </w:rPr>
            </w:pPr>
            <w:r w:rsidRPr="006B29BF">
              <w:rPr>
                <w:rFonts w:ascii="Arial" w:eastAsia="Times New Roman" w:hAnsi="Arial" w:cs="Arial"/>
                <w:sz w:val="24"/>
                <w:szCs w:val="24"/>
              </w:rPr>
              <w:t xml:space="preserve">Staff and program supervisors shall receive consistent administrative supervision. Administrative supervision addresses issues related to staffing, policy, client </w:t>
            </w:r>
            <w:r w:rsidRPr="006B29BF">
              <w:rPr>
                <w:rFonts w:ascii="Arial" w:eastAsia="Times New Roman" w:hAnsi="Arial" w:cs="Arial"/>
                <w:sz w:val="24"/>
                <w:szCs w:val="24"/>
              </w:rPr>
              <w:lastRenderedPageBreak/>
              <w:t xml:space="preserve">documentation, reimbursement, scheduling, training, quality enhancement activities, and the overall operation of the program and/or agency. </w:t>
            </w:r>
          </w:p>
          <w:p w:rsidR="00C47F9A" w:rsidRPr="00C47F9A" w:rsidRDefault="006B29BF" w:rsidP="006E7960">
            <w:pPr>
              <w:spacing w:before="240" w:after="0" w:line="240" w:lineRule="auto"/>
              <w:jc w:val="both"/>
              <w:rPr>
                <w:rFonts w:ascii="Arial" w:eastAsia="Times New Roman" w:hAnsi="Arial" w:cs="Arial"/>
                <w:sz w:val="24"/>
                <w:szCs w:val="24"/>
              </w:rPr>
            </w:pPr>
            <w:r w:rsidRPr="006B29BF">
              <w:rPr>
                <w:rFonts w:ascii="Arial" w:eastAsia="Times New Roman" w:hAnsi="Arial" w:cs="Arial"/>
                <w:sz w:val="24"/>
                <w:szCs w:val="24"/>
              </w:rPr>
              <w:t>In addition to administrative supervision, clinical staff shall also receive consistent clinical supervision .Clinical supervision addresses any issue directly related to client care and job related stress (e.g., boundaries, crises, and burnout).</w:t>
            </w:r>
          </w:p>
        </w:tc>
      </w:tr>
    </w:tbl>
    <w:p w:rsidR="00DB0CB6" w:rsidRDefault="00DB0CB6" w:rsidP="00DB0CB6">
      <w:pPr>
        <w:spacing w:after="0"/>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176"/>
        <w:gridCol w:w="720"/>
        <w:gridCol w:w="3942"/>
      </w:tblGrid>
      <w:tr w:rsidR="00FC14D3" w:rsidTr="00B32A01">
        <w:tc>
          <w:tcPr>
            <w:tcW w:w="9558" w:type="dxa"/>
            <w:gridSpan w:val="4"/>
            <w:shd w:val="clear" w:color="auto" w:fill="17365D" w:themeFill="text2" w:themeFillShade="BF"/>
          </w:tcPr>
          <w:p w:rsidR="00FC14D3" w:rsidRPr="001F30B2" w:rsidRDefault="006A2707" w:rsidP="0069155E">
            <w:pPr>
              <w:pStyle w:val="Heading4"/>
              <w:spacing w:before="0"/>
              <w:outlineLvl w:val="3"/>
              <w:rPr>
                <w:bCs/>
              </w:rPr>
            </w:pPr>
            <w:r w:rsidRPr="0069155E">
              <w:rPr>
                <w:color w:val="FFFFFF" w:themeColor="background1"/>
                <w:sz w:val="28"/>
              </w:rPr>
              <w:t>3.0 Personnel</w:t>
            </w:r>
            <w:r w:rsidR="00FC14D3" w:rsidRPr="0069155E">
              <w:rPr>
                <w:color w:val="FFFFFF" w:themeColor="background1"/>
                <w:sz w:val="28"/>
              </w:rPr>
              <w:t xml:space="preserve"> </w:t>
            </w:r>
          </w:p>
        </w:tc>
      </w:tr>
      <w:tr w:rsidR="0069155E" w:rsidTr="00B32A01">
        <w:tc>
          <w:tcPr>
            <w:tcW w:w="9558" w:type="dxa"/>
            <w:gridSpan w:val="4"/>
            <w:vAlign w:val="center"/>
          </w:tcPr>
          <w:p w:rsidR="0069155E" w:rsidRPr="006B29BF" w:rsidRDefault="0069155E" w:rsidP="00C33AAA">
            <w:pPr>
              <w:jc w:val="center"/>
              <w:rPr>
                <w:b/>
                <w:sz w:val="28"/>
              </w:rPr>
            </w:pPr>
          </w:p>
        </w:tc>
      </w:tr>
      <w:tr w:rsidR="00FC14D3" w:rsidTr="00B32A01">
        <w:tc>
          <w:tcPr>
            <w:tcW w:w="4896" w:type="dxa"/>
            <w:gridSpan w:val="2"/>
            <w:tcBorders>
              <w:bottom w:val="single" w:sz="12" w:space="0" w:color="17365D" w:themeColor="text2" w:themeShade="BF"/>
              <w:right w:val="single" w:sz="12" w:space="0" w:color="17365D" w:themeColor="text2" w:themeShade="BF"/>
            </w:tcBorders>
            <w:vAlign w:val="center"/>
          </w:tcPr>
          <w:p w:rsidR="00FC14D3" w:rsidRPr="006E7960" w:rsidRDefault="00FC14D3" w:rsidP="00C33AAA">
            <w:pPr>
              <w:jc w:val="center"/>
              <w:rPr>
                <w:rStyle w:val="BookTitle"/>
              </w:rPr>
            </w:pPr>
            <w:r w:rsidRPr="006E7960">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FC14D3" w:rsidRPr="006E7960" w:rsidRDefault="00FC14D3" w:rsidP="00C33AAA">
            <w:pPr>
              <w:jc w:val="center"/>
              <w:rPr>
                <w:rStyle w:val="BookTitle"/>
              </w:rPr>
            </w:pPr>
            <w:r w:rsidRPr="006E7960">
              <w:rPr>
                <w:rStyle w:val="BookTitle"/>
              </w:rPr>
              <w:t>Measures</w:t>
            </w:r>
          </w:p>
        </w:tc>
      </w:tr>
      <w:tr w:rsidR="00FC14D3" w:rsidTr="00B32A01">
        <w:tc>
          <w:tcPr>
            <w:tcW w:w="720" w:type="dxa"/>
            <w:tcBorders>
              <w:top w:val="single" w:sz="12" w:space="0" w:color="17365D" w:themeColor="text2" w:themeShade="BF"/>
              <w:bottom w:val="single" w:sz="12" w:space="0" w:color="17365D" w:themeColor="text2" w:themeShade="BF"/>
            </w:tcBorders>
          </w:tcPr>
          <w:p w:rsidR="00FC14D3" w:rsidRDefault="006A2707" w:rsidP="006E7960">
            <w:pPr>
              <w:rPr>
                <w:bCs w:val="0"/>
              </w:rPr>
            </w:pPr>
            <w:r>
              <w:rPr>
                <w:bCs w:val="0"/>
              </w:rPr>
              <w:t>3.1</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6A2707" w:rsidP="00B32A01">
            <w:pPr>
              <w:rPr>
                <w:bCs w:val="0"/>
              </w:rPr>
            </w:pPr>
            <w:r>
              <w:rPr>
                <w:bCs w:val="0"/>
              </w:rPr>
              <w:t>Staff members have the minimum qualifications expected for their job position, as well as other experience related to the position and the communit</w:t>
            </w:r>
            <w:r w:rsidR="00A008B7">
              <w:rPr>
                <w:bCs w:val="0"/>
              </w:rPr>
              <w:t>ies</w:t>
            </w:r>
            <w:r>
              <w:rPr>
                <w:bCs w:val="0"/>
              </w:rPr>
              <w:t xml:space="preserve"> served.</w:t>
            </w:r>
          </w:p>
          <w:p w:rsidR="00B32A01" w:rsidRDefault="00B32A01" w:rsidP="00B32A01">
            <w:pPr>
              <w:rPr>
                <w:bCs w:val="0"/>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FC14D3" w:rsidRDefault="006A2707" w:rsidP="006E7960">
            <w:pPr>
              <w:rPr>
                <w:bCs w:val="0"/>
              </w:rPr>
            </w:pPr>
            <w:r>
              <w:rPr>
                <w:bCs w:val="0"/>
              </w:rPr>
              <w:t>3.1</w:t>
            </w:r>
          </w:p>
        </w:tc>
        <w:tc>
          <w:tcPr>
            <w:tcW w:w="3942" w:type="dxa"/>
            <w:tcBorders>
              <w:top w:val="single" w:sz="12" w:space="0" w:color="17365D" w:themeColor="text2" w:themeShade="BF"/>
              <w:bottom w:val="single" w:sz="12" w:space="0" w:color="17365D" w:themeColor="text2" w:themeShade="BF"/>
            </w:tcBorders>
          </w:tcPr>
          <w:p w:rsidR="00FC14D3" w:rsidRDefault="00C47F9A" w:rsidP="006E7960">
            <w:pPr>
              <w:rPr>
                <w:bCs w:val="0"/>
              </w:rPr>
            </w:pPr>
            <w:r w:rsidRPr="000B5B66">
              <w:rPr>
                <w:rFonts w:cs="Arial"/>
                <w:szCs w:val="24"/>
              </w:rPr>
              <w:t>Résumé</w:t>
            </w:r>
            <w:r>
              <w:rPr>
                <w:rFonts w:cs="Arial"/>
                <w:szCs w:val="24"/>
              </w:rPr>
              <w:t xml:space="preserve"> and application</w:t>
            </w:r>
            <w:r w:rsidRPr="000B5B66">
              <w:rPr>
                <w:rFonts w:cs="Arial"/>
                <w:szCs w:val="24"/>
              </w:rPr>
              <w:t xml:space="preserve"> in personnel file</w:t>
            </w:r>
            <w:r>
              <w:rPr>
                <w:rFonts w:cs="Arial"/>
                <w:szCs w:val="24"/>
              </w:rPr>
              <w:t xml:space="preserve"> reflects the </w:t>
            </w:r>
            <w:r w:rsidRPr="000B5B66">
              <w:rPr>
                <w:rFonts w:cs="Arial"/>
                <w:szCs w:val="24"/>
              </w:rPr>
              <w:t>minimum requirements of the job description.</w:t>
            </w:r>
          </w:p>
        </w:tc>
      </w:tr>
      <w:tr w:rsidR="00FC14D3" w:rsidTr="00B32A01">
        <w:tc>
          <w:tcPr>
            <w:tcW w:w="720" w:type="dxa"/>
            <w:tcBorders>
              <w:top w:val="single" w:sz="12" w:space="0" w:color="17365D" w:themeColor="text2" w:themeShade="BF"/>
              <w:bottom w:val="single" w:sz="12" w:space="0" w:color="17365D" w:themeColor="text2" w:themeShade="BF"/>
            </w:tcBorders>
          </w:tcPr>
          <w:p w:rsidR="00FC14D3" w:rsidRDefault="006A2707" w:rsidP="006E7960">
            <w:pPr>
              <w:rPr>
                <w:bCs w:val="0"/>
              </w:rPr>
            </w:pPr>
            <w:r>
              <w:rPr>
                <w:bCs w:val="0"/>
              </w:rPr>
              <w:t>3.2</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C47F9A" w:rsidP="00B32A01">
            <w:pPr>
              <w:rPr>
                <w:rFonts w:cs="Arial"/>
                <w:szCs w:val="24"/>
              </w:rPr>
            </w:pPr>
            <w:r w:rsidRPr="000B5B66">
              <w:rPr>
                <w:rFonts w:cs="Arial"/>
                <w:szCs w:val="24"/>
              </w:rPr>
              <w:t xml:space="preserve">Staff members are licensed </w:t>
            </w:r>
            <w:r>
              <w:rPr>
                <w:rFonts w:cs="Arial"/>
                <w:szCs w:val="24"/>
              </w:rPr>
              <w:t xml:space="preserve">or certified </w:t>
            </w:r>
            <w:r w:rsidRPr="000B5B66">
              <w:rPr>
                <w:rFonts w:cs="Arial"/>
                <w:szCs w:val="24"/>
              </w:rPr>
              <w:t>as necessary to provide services.</w:t>
            </w:r>
          </w:p>
          <w:p w:rsidR="00B32A01" w:rsidRDefault="00B32A01" w:rsidP="00B32A01">
            <w:pPr>
              <w:rPr>
                <w:bCs w:val="0"/>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FC14D3" w:rsidRDefault="006A2707" w:rsidP="006E7960">
            <w:pPr>
              <w:rPr>
                <w:bCs w:val="0"/>
              </w:rPr>
            </w:pPr>
            <w:r>
              <w:rPr>
                <w:bCs w:val="0"/>
              </w:rPr>
              <w:t>3.2</w:t>
            </w:r>
          </w:p>
        </w:tc>
        <w:tc>
          <w:tcPr>
            <w:tcW w:w="3942" w:type="dxa"/>
            <w:tcBorders>
              <w:top w:val="single" w:sz="12" w:space="0" w:color="17365D" w:themeColor="text2" w:themeShade="BF"/>
              <w:bottom w:val="single" w:sz="12" w:space="0" w:color="17365D" w:themeColor="text2" w:themeShade="BF"/>
            </w:tcBorders>
          </w:tcPr>
          <w:p w:rsidR="00FC14D3" w:rsidRDefault="00C47F9A" w:rsidP="006E7960">
            <w:pPr>
              <w:rPr>
                <w:bCs w:val="0"/>
              </w:rPr>
            </w:pPr>
            <w:r w:rsidRPr="000B5B66">
              <w:rPr>
                <w:rFonts w:cs="Arial"/>
                <w:szCs w:val="24"/>
              </w:rPr>
              <w:t>Copy of license or</w:t>
            </w:r>
            <w:r>
              <w:rPr>
                <w:rFonts w:cs="Arial"/>
                <w:szCs w:val="24"/>
              </w:rPr>
              <w:t xml:space="preserve"> certification</w:t>
            </w:r>
            <w:r w:rsidRPr="000B5B66">
              <w:rPr>
                <w:rFonts w:cs="Arial"/>
                <w:szCs w:val="24"/>
              </w:rPr>
              <w:t xml:space="preserve"> in personnel file.</w:t>
            </w:r>
          </w:p>
        </w:tc>
      </w:tr>
      <w:tr w:rsidR="00FC14D3" w:rsidTr="00B32A01">
        <w:tc>
          <w:tcPr>
            <w:tcW w:w="720" w:type="dxa"/>
            <w:tcBorders>
              <w:top w:val="single" w:sz="12" w:space="0" w:color="17365D" w:themeColor="text2" w:themeShade="BF"/>
              <w:bottom w:val="single" w:sz="12" w:space="0" w:color="17365D" w:themeColor="text2" w:themeShade="BF"/>
            </w:tcBorders>
          </w:tcPr>
          <w:p w:rsidR="00FC14D3" w:rsidRDefault="006A2707" w:rsidP="006E7960">
            <w:pPr>
              <w:rPr>
                <w:bCs w:val="0"/>
              </w:rPr>
            </w:pPr>
            <w:r>
              <w:rPr>
                <w:bCs w:val="0"/>
              </w:rPr>
              <w:t>3.3</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6A2707" w:rsidP="00B32A01">
            <w:pPr>
              <w:rPr>
                <w:bCs w:val="0"/>
              </w:rPr>
            </w:pPr>
            <w:r>
              <w:rPr>
                <w:bCs w:val="0"/>
              </w:rPr>
              <w:t>Staff and supervisors know the requirements of their job description and the service elements of the program.</w:t>
            </w:r>
          </w:p>
          <w:p w:rsidR="00B32A01" w:rsidRDefault="00B32A01" w:rsidP="00B32A01">
            <w:pPr>
              <w:rPr>
                <w:bCs w:val="0"/>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FC14D3" w:rsidRDefault="006A2707" w:rsidP="006E7960">
            <w:pPr>
              <w:rPr>
                <w:bCs w:val="0"/>
              </w:rPr>
            </w:pPr>
            <w:r>
              <w:rPr>
                <w:bCs w:val="0"/>
              </w:rPr>
              <w:t>3.3</w:t>
            </w:r>
          </w:p>
        </w:tc>
        <w:tc>
          <w:tcPr>
            <w:tcW w:w="3942" w:type="dxa"/>
            <w:tcBorders>
              <w:top w:val="single" w:sz="12" w:space="0" w:color="17365D" w:themeColor="text2" w:themeShade="BF"/>
              <w:bottom w:val="single" w:sz="12" w:space="0" w:color="17365D" w:themeColor="text2" w:themeShade="BF"/>
            </w:tcBorders>
          </w:tcPr>
          <w:p w:rsidR="00FC14D3" w:rsidRDefault="00C47F9A" w:rsidP="006E7960">
            <w:pPr>
              <w:rPr>
                <w:bCs w:val="0"/>
              </w:rPr>
            </w:pPr>
            <w:r w:rsidRPr="000B5B66">
              <w:rPr>
                <w:rFonts w:cs="Arial"/>
                <w:szCs w:val="24"/>
              </w:rPr>
              <w:t>Documentation in personnel file</w:t>
            </w:r>
            <w:r>
              <w:rPr>
                <w:rFonts w:cs="Arial"/>
                <w:szCs w:val="24"/>
              </w:rPr>
              <w:t xml:space="preserve"> reflects signed</w:t>
            </w:r>
            <w:r w:rsidRPr="000B5B66">
              <w:rPr>
                <w:rFonts w:cs="Arial"/>
                <w:szCs w:val="24"/>
              </w:rPr>
              <w:t xml:space="preserve"> job description.</w:t>
            </w:r>
          </w:p>
        </w:tc>
      </w:tr>
      <w:tr w:rsidR="00FC14D3" w:rsidTr="00B32A01">
        <w:tc>
          <w:tcPr>
            <w:tcW w:w="720" w:type="dxa"/>
            <w:tcBorders>
              <w:top w:val="single" w:sz="12" w:space="0" w:color="17365D" w:themeColor="text2" w:themeShade="BF"/>
              <w:bottom w:val="single" w:sz="12" w:space="0" w:color="17365D" w:themeColor="text2" w:themeShade="BF"/>
            </w:tcBorders>
          </w:tcPr>
          <w:p w:rsidR="00FC14D3" w:rsidRDefault="006A2707" w:rsidP="006E7960">
            <w:pPr>
              <w:rPr>
                <w:bCs w:val="0"/>
              </w:rPr>
            </w:pPr>
            <w:r>
              <w:rPr>
                <w:bCs w:val="0"/>
              </w:rPr>
              <w:t>3.4</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FC14D3" w:rsidRPr="00C47F9A" w:rsidRDefault="00C47F9A" w:rsidP="006E7960">
            <w:r w:rsidRPr="000B5B66">
              <w:rPr>
                <w:rFonts w:cs="Arial"/>
                <w:szCs w:val="24"/>
              </w:rPr>
              <w:t xml:space="preserve">Newly hired staff is oriented   and begin initial training </w:t>
            </w:r>
            <w:r>
              <w:rPr>
                <w:rFonts w:cs="Arial"/>
                <w:szCs w:val="24"/>
              </w:rPr>
              <w:t>within 30 days of hire.</w:t>
            </w:r>
            <w:r w:rsidRPr="000B5B66">
              <w:rPr>
                <w:rFonts w:cs="Arial"/>
                <w:szCs w:val="24"/>
              </w:rPr>
              <w:t xml:space="preserve"> Ongoing training continues throughout staff’s tenure</w:t>
            </w:r>
            <w:r>
              <w:rPr>
                <w:rFonts w:cs="Arial"/>
                <w:szCs w:val="24"/>
              </w:rPr>
              <w:t>.</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FC14D3" w:rsidRDefault="006A2707" w:rsidP="006E7960">
            <w:pPr>
              <w:rPr>
                <w:bCs w:val="0"/>
              </w:rPr>
            </w:pPr>
            <w:r>
              <w:rPr>
                <w:bCs w:val="0"/>
              </w:rPr>
              <w:t>3.4</w:t>
            </w:r>
          </w:p>
        </w:tc>
        <w:tc>
          <w:tcPr>
            <w:tcW w:w="3942" w:type="dxa"/>
            <w:tcBorders>
              <w:top w:val="single" w:sz="12" w:space="0" w:color="17365D" w:themeColor="text2" w:themeShade="BF"/>
              <w:bottom w:val="single" w:sz="12" w:space="0" w:color="17365D" w:themeColor="text2" w:themeShade="BF"/>
            </w:tcBorders>
          </w:tcPr>
          <w:p w:rsidR="00C47F9A" w:rsidRPr="00C47F9A" w:rsidRDefault="00C47F9A" w:rsidP="006E7960">
            <w:pPr>
              <w:rPr>
                <w:bCs w:val="0"/>
              </w:rPr>
            </w:pPr>
            <w:r w:rsidRPr="00C47F9A">
              <w:rPr>
                <w:bCs w:val="0"/>
              </w:rPr>
              <w:t>Documentation in personnel file of</w:t>
            </w:r>
            <w:r>
              <w:rPr>
                <w:bCs w:val="0"/>
              </w:rPr>
              <w:t>:</w:t>
            </w:r>
          </w:p>
          <w:p w:rsidR="00C47F9A" w:rsidRPr="00C47F9A" w:rsidRDefault="006B29BF" w:rsidP="001B1B43">
            <w:pPr>
              <w:pStyle w:val="ListParagraph"/>
              <w:numPr>
                <w:ilvl w:val="0"/>
                <w:numId w:val="17"/>
              </w:numPr>
            </w:pPr>
            <w:r w:rsidRPr="00C47F9A">
              <w:t xml:space="preserve">Completed orientation within 30 days of date of hire; </w:t>
            </w:r>
          </w:p>
          <w:p w:rsidR="00C47F9A" w:rsidRPr="00C47F9A" w:rsidRDefault="006B29BF" w:rsidP="001B1B43">
            <w:pPr>
              <w:pStyle w:val="ListParagraph"/>
              <w:numPr>
                <w:ilvl w:val="0"/>
                <w:numId w:val="17"/>
              </w:numPr>
            </w:pPr>
            <w:r w:rsidRPr="00C47F9A">
              <w:t xml:space="preserve">Commencement of initial training within 30 days of date of hire; </w:t>
            </w:r>
          </w:p>
          <w:p w:rsidR="00FC14D3" w:rsidRDefault="006B29BF" w:rsidP="001B1B43">
            <w:pPr>
              <w:pStyle w:val="ListParagraph"/>
              <w:numPr>
                <w:ilvl w:val="0"/>
                <w:numId w:val="17"/>
              </w:numPr>
            </w:pPr>
            <w:r w:rsidRPr="00C47F9A">
              <w:t>And ongoing trainings.</w:t>
            </w:r>
          </w:p>
          <w:p w:rsidR="00DE4D08" w:rsidRPr="00C47F9A" w:rsidRDefault="00DE4D08" w:rsidP="006E7960">
            <w:pPr>
              <w:pStyle w:val="ListParagraph"/>
            </w:pPr>
          </w:p>
        </w:tc>
      </w:tr>
      <w:tr w:rsidR="00FC14D3" w:rsidTr="00B32A01">
        <w:tc>
          <w:tcPr>
            <w:tcW w:w="720" w:type="dxa"/>
            <w:tcBorders>
              <w:top w:val="single" w:sz="12" w:space="0" w:color="17365D" w:themeColor="text2" w:themeShade="BF"/>
              <w:bottom w:val="single" w:sz="12" w:space="0" w:color="17365D" w:themeColor="text2" w:themeShade="BF"/>
            </w:tcBorders>
          </w:tcPr>
          <w:p w:rsidR="00FC14D3" w:rsidRDefault="006A2707" w:rsidP="006E7960">
            <w:pPr>
              <w:rPr>
                <w:bCs w:val="0"/>
              </w:rPr>
            </w:pPr>
            <w:r>
              <w:rPr>
                <w:bCs w:val="0"/>
              </w:rPr>
              <w:t>3.5</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FC14D3" w:rsidRDefault="002D660C" w:rsidP="006E7960">
            <w:pPr>
              <w:rPr>
                <w:bCs w:val="0"/>
              </w:rPr>
            </w:pPr>
            <w:r w:rsidRPr="000B5B66">
              <w:rPr>
                <w:rFonts w:cs="Arial"/>
                <w:szCs w:val="24"/>
              </w:rPr>
              <w:t>Staff receive</w:t>
            </w:r>
            <w:r>
              <w:rPr>
                <w:rFonts w:cs="Arial"/>
                <w:szCs w:val="24"/>
              </w:rPr>
              <w:t>s</w:t>
            </w:r>
            <w:r w:rsidRPr="000B5B66">
              <w:rPr>
                <w:rFonts w:cs="Arial"/>
                <w:szCs w:val="24"/>
              </w:rPr>
              <w:t xml:space="preserve"> administrative</w:t>
            </w:r>
            <w:r>
              <w:rPr>
                <w:rFonts w:cs="Arial"/>
                <w:szCs w:val="24"/>
              </w:rPr>
              <w:t xml:space="preserve"> and clinical (as required)</w:t>
            </w:r>
            <w:r w:rsidRPr="000B5B66">
              <w:rPr>
                <w:rFonts w:cs="Arial"/>
                <w:szCs w:val="24"/>
              </w:rPr>
              <w:t xml:space="preserve"> supervision monthly</w:t>
            </w:r>
            <w:r>
              <w:rPr>
                <w:rFonts w:cs="Arial"/>
                <w:szCs w:val="24"/>
              </w:rPr>
              <w:t>.</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FC14D3" w:rsidRDefault="006A2707" w:rsidP="006E7960">
            <w:pPr>
              <w:rPr>
                <w:bCs w:val="0"/>
              </w:rPr>
            </w:pPr>
            <w:r>
              <w:rPr>
                <w:bCs w:val="0"/>
              </w:rPr>
              <w:t>3.5</w:t>
            </w:r>
          </w:p>
        </w:tc>
        <w:tc>
          <w:tcPr>
            <w:tcW w:w="3942" w:type="dxa"/>
            <w:tcBorders>
              <w:top w:val="single" w:sz="12" w:space="0" w:color="17365D" w:themeColor="text2" w:themeShade="BF"/>
              <w:bottom w:val="single" w:sz="12" w:space="0" w:color="17365D" w:themeColor="text2" w:themeShade="BF"/>
            </w:tcBorders>
          </w:tcPr>
          <w:p w:rsidR="00FC14D3" w:rsidRDefault="002D660C" w:rsidP="006E7960">
            <w:pPr>
              <w:rPr>
                <w:rFonts w:cs="Arial"/>
                <w:szCs w:val="24"/>
              </w:rPr>
            </w:pPr>
            <w:r w:rsidRPr="000B5B66">
              <w:rPr>
                <w:rFonts w:cs="Arial"/>
                <w:szCs w:val="24"/>
              </w:rPr>
              <w:t xml:space="preserve">Signed documentation on file indicating the date </w:t>
            </w:r>
            <w:r>
              <w:rPr>
                <w:rFonts w:cs="Arial"/>
                <w:szCs w:val="24"/>
              </w:rPr>
              <w:t xml:space="preserve">and length </w:t>
            </w:r>
            <w:r w:rsidRPr="000B5B66">
              <w:rPr>
                <w:rFonts w:cs="Arial"/>
                <w:szCs w:val="24"/>
              </w:rPr>
              <w:t>of supervision, type of supervision (administrative or clinical), and name of supervisor.</w:t>
            </w:r>
          </w:p>
          <w:p w:rsidR="00DE4D08" w:rsidRPr="00A01B1D" w:rsidRDefault="00DE4D08" w:rsidP="006E7960">
            <w:pPr>
              <w:rPr>
                <w:bCs w:val="0"/>
              </w:rPr>
            </w:pPr>
          </w:p>
        </w:tc>
      </w:tr>
      <w:tr w:rsidR="00FC14D3" w:rsidTr="00B32A01">
        <w:tc>
          <w:tcPr>
            <w:tcW w:w="720" w:type="dxa"/>
            <w:tcBorders>
              <w:top w:val="single" w:sz="12" w:space="0" w:color="17365D" w:themeColor="text2" w:themeShade="BF"/>
              <w:bottom w:val="single" w:sz="12" w:space="0" w:color="17365D" w:themeColor="text2" w:themeShade="BF"/>
            </w:tcBorders>
          </w:tcPr>
          <w:p w:rsidR="00FC14D3" w:rsidRDefault="006A2707" w:rsidP="006E7960">
            <w:pPr>
              <w:rPr>
                <w:bCs w:val="0"/>
              </w:rPr>
            </w:pPr>
            <w:r>
              <w:rPr>
                <w:bCs w:val="0"/>
              </w:rPr>
              <w:t>3.6</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B32A01" w:rsidRDefault="006A2707" w:rsidP="0028114A">
            <w:pPr>
              <w:rPr>
                <w:bCs w:val="0"/>
              </w:rPr>
            </w:pPr>
            <w:r>
              <w:rPr>
                <w:bCs w:val="0"/>
              </w:rPr>
              <w:t>Volunteer/Interns must possess the necessary knowledge, skills and abilities as well as the capacity, capability and confidence to provide quality services to the HIV consumer.</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FC14D3" w:rsidRDefault="006A2707" w:rsidP="006E7960">
            <w:pPr>
              <w:rPr>
                <w:bCs w:val="0"/>
              </w:rPr>
            </w:pPr>
            <w:r>
              <w:rPr>
                <w:bCs w:val="0"/>
              </w:rPr>
              <w:t>3.6</w:t>
            </w:r>
          </w:p>
        </w:tc>
        <w:tc>
          <w:tcPr>
            <w:tcW w:w="3942" w:type="dxa"/>
            <w:tcBorders>
              <w:top w:val="single" w:sz="12" w:space="0" w:color="17365D" w:themeColor="text2" w:themeShade="BF"/>
              <w:bottom w:val="single" w:sz="12" w:space="0" w:color="17365D" w:themeColor="text2" w:themeShade="BF"/>
            </w:tcBorders>
          </w:tcPr>
          <w:p w:rsidR="00FC14D3" w:rsidRPr="006A2707" w:rsidRDefault="006A2707" w:rsidP="006E7960">
            <w:r w:rsidRPr="006A2707">
              <w:t xml:space="preserve">Documentation </w:t>
            </w:r>
            <w:r>
              <w:t>i</w:t>
            </w:r>
            <w:r w:rsidRPr="006A2707">
              <w:t>n personnel file</w:t>
            </w:r>
          </w:p>
        </w:tc>
      </w:tr>
      <w:tr w:rsidR="006A2707" w:rsidTr="00B32A01">
        <w:tc>
          <w:tcPr>
            <w:tcW w:w="720" w:type="dxa"/>
            <w:tcBorders>
              <w:top w:val="single" w:sz="12" w:space="0" w:color="17365D" w:themeColor="text2" w:themeShade="BF"/>
              <w:bottom w:val="single" w:sz="12" w:space="0" w:color="17365D" w:themeColor="text2" w:themeShade="BF"/>
            </w:tcBorders>
          </w:tcPr>
          <w:p w:rsidR="006A2707" w:rsidRDefault="006A2707" w:rsidP="006E7960">
            <w:pPr>
              <w:rPr>
                <w:bCs w:val="0"/>
              </w:rPr>
            </w:pPr>
            <w:r>
              <w:rPr>
                <w:bCs w:val="0"/>
              </w:rPr>
              <w:lastRenderedPageBreak/>
              <w:t>3.7</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2D660C" w:rsidRPr="000B5B66" w:rsidRDefault="002D660C" w:rsidP="006E7960">
            <w:pPr>
              <w:rPr>
                <w:rFonts w:cs="Arial"/>
                <w:szCs w:val="24"/>
              </w:rPr>
            </w:pPr>
            <w:r w:rsidRPr="000B5B66">
              <w:rPr>
                <w:rFonts w:cs="Arial"/>
                <w:szCs w:val="24"/>
              </w:rPr>
              <w:t>Staff/Volunteer annual training shall include each of the following:</w:t>
            </w:r>
          </w:p>
          <w:p w:rsidR="002D660C" w:rsidRPr="000B5B66" w:rsidRDefault="002D660C" w:rsidP="006E7960">
            <w:pPr>
              <w:numPr>
                <w:ilvl w:val="0"/>
                <w:numId w:val="1"/>
              </w:numPr>
              <w:rPr>
                <w:rFonts w:cs="Arial"/>
                <w:szCs w:val="24"/>
              </w:rPr>
            </w:pPr>
            <w:r w:rsidRPr="000B5B66">
              <w:rPr>
                <w:rFonts w:cs="Arial"/>
                <w:szCs w:val="24"/>
              </w:rPr>
              <w:t>Confidentiality/HIPPA</w:t>
            </w:r>
          </w:p>
          <w:p w:rsidR="002D660C" w:rsidRPr="000B5B66" w:rsidRDefault="002D660C" w:rsidP="006E7960">
            <w:pPr>
              <w:numPr>
                <w:ilvl w:val="0"/>
                <w:numId w:val="1"/>
              </w:numPr>
              <w:rPr>
                <w:rFonts w:cs="Arial"/>
                <w:szCs w:val="24"/>
              </w:rPr>
            </w:pPr>
            <w:r w:rsidRPr="000B5B66">
              <w:rPr>
                <w:rFonts w:cs="Arial"/>
                <w:szCs w:val="24"/>
              </w:rPr>
              <w:t>Age and Cultural Competence</w:t>
            </w:r>
          </w:p>
          <w:p w:rsidR="002D660C" w:rsidRPr="000B5B66" w:rsidRDefault="002D660C" w:rsidP="006E7960">
            <w:pPr>
              <w:numPr>
                <w:ilvl w:val="0"/>
                <w:numId w:val="1"/>
              </w:numPr>
              <w:rPr>
                <w:rFonts w:cs="Arial"/>
                <w:szCs w:val="24"/>
              </w:rPr>
            </w:pPr>
            <w:r w:rsidRPr="000B5B66">
              <w:rPr>
                <w:rFonts w:cs="Arial"/>
                <w:szCs w:val="24"/>
              </w:rPr>
              <w:t>Community Social Support Resources</w:t>
            </w:r>
          </w:p>
          <w:p w:rsidR="002D660C" w:rsidRPr="000B5B66" w:rsidRDefault="002D660C" w:rsidP="006E7960">
            <w:pPr>
              <w:numPr>
                <w:ilvl w:val="0"/>
                <w:numId w:val="1"/>
              </w:numPr>
              <w:rPr>
                <w:rFonts w:cs="Arial"/>
                <w:szCs w:val="24"/>
              </w:rPr>
            </w:pPr>
            <w:r w:rsidRPr="000B5B66">
              <w:rPr>
                <w:rFonts w:cs="Arial"/>
                <w:szCs w:val="24"/>
              </w:rPr>
              <w:t>Community HIV/AIDS resources</w:t>
            </w:r>
          </w:p>
          <w:p w:rsidR="002D660C" w:rsidRPr="000B5B66" w:rsidRDefault="002D660C" w:rsidP="006E7960">
            <w:pPr>
              <w:numPr>
                <w:ilvl w:val="0"/>
                <w:numId w:val="1"/>
              </w:numPr>
              <w:rPr>
                <w:rFonts w:cs="Arial"/>
                <w:szCs w:val="24"/>
              </w:rPr>
            </w:pPr>
            <w:r w:rsidRPr="000B5B66">
              <w:rPr>
                <w:rFonts w:cs="Arial"/>
                <w:szCs w:val="24"/>
              </w:rPr>
              <w:t>Risk Management Process improvement (Quality Insurance/Quality Assurance)</w:t>
            </w:r>
          </w:p>
          <w:p w:rsidR="002D660C" w:rsidRDefault="002D660C" w:rsidP="006E7960">
            <w:pPr>
              <w:numPr>
                <w:ilvl w:val="0"/>
                <w:numId w:val="1"/>
              </w:numPr>
              <w:rPr>
                <w:rFonts w:cs="Arial"/>
                <w:szCs w:val="24"/>
              </w:rPr>
            </w:pPr>
            <w:r w:rsidRPr="000B5B66">
              <w:rPr>
                <w:rFonts w:cs="Arial"/>
                <w:szCs w:val="24"/>
              </w:rPr>
              <w:t xml:space="preserve">Customer Service </w:t>
            </w:r>
          </w:p>
          <w:p w:rsidR="002D660C" w:rsidRPr="000B5B66" w:rsidRDefault="002D660C" w:rsidP="006E7960">
            <w:pPr>
              <w:numPr>
                <w:ilvl w:val="0"/>
                <w:numId w:val="1"/>
              </w:numPr>
              <w:rPr>
                <w:rFonts w:cs="Arial"/>
                <w:szCs w:val="24"/>
              </w:rPr>
            </w:pPr>
            <w:r w:rsidRPr="000B5B66">
              <w:rPr>
                <w:rFonts w:cs="Arial"/>
                <w:szCs w:val="24"/>
              </w:rPr>
              <w:t>Ethics</w:t>
            </w:r>
          </w:p>
          <w:p w:rsidR="002D660C" w:rsidRPr="000B5B66" w:rsidRDefault="002D660C" w:rsidP="006E7960">
            <w:pPr>
              <w:numPr>
                <w:ilvl w:val="0"/>
                <w:numId w:val="1"/>
              </w:numPr>
              <w:rPr>
                <w:rFonts w:cs="Arial"/>
                <w:szCs w:val="24"/>
              </w:rPr>
            </w:pPr>
            <w:r w:rsidRPr="000B5B66">
              <w:rPr>
                <w:rFonts w:cs="Arial"/>
                <w:szCs w:val="24"/>
              </w:rPr>
              <w:t>Child and Elder Abuse and Neglect</w:t>
            </w:r>
          </w:p>
          <w:p w:rsidR="002D660C" w:rsidRPr="000B5B66" w:rsidRDefault="002D660C" w:rsidP="006E7960">
            <w:pPr>
              <w:numPr>
                <w:ilvl w:val="0"/>
                <w:numId w:val="1"/>
              </w:numPr>
              <w:rPr>
                <w:rFonts w:cs="Arial"/>
                <w:szCs w:val="24"/>
              </w:rPr>
            </w:pPr>
            <w:r w:rsidRPr="000B5B66">
              <w:rPr>
                <w:rFonts w:cs="Arial"/>
                <w:szCs w:val="24"/>
              </w:rPr>
              <w:t>Domestic Violence</w:t>
            </w:r>
          </w:p>
          <w:p w:rsidR="002D660C" w:rsidRPr="000B5B66" w:rsidRDefault="002D660C" w:rsidP="006E7960">
            <w:pPr>
              <w:numPr>
                <w:ilvl w:val="0"/>
                <w:numId w:val="1"/>
              </w:numPr>
              <w:rPr>
                <w:rFonts w:cs="Arial"/>
                <w:szCs w:val="24"/>
              </w:rPr>
            </w:pPr>
            <w:r w:rsidRPr="000B5B66">
              <w:rPr>
                <w:rFonts w:cs="Arial"/>
                <w:szCs w:val="24"/>
              </w:rPr>
              <w:t>Sexual Harassment</w:t>
            </w:r>
          </w:p>
          <w:p w:rsidR="006A2707" w:rsidRPr="002D660C" w:rsidRDefault="002D660C" w:rsidP="006E7960">
            <w:pPr>
              <w:numPr>
                <w:ilvl w:val="0"/>
                <w:numId w:val="1"/>
              </w:numPr>
            </w:pPr>
            <w:r w:rsidRPr="000B5B66">
              <w:rPr>
                <w:rFonts w:cs="Arial"/>
                <w:szCs w:val="24"/>
              </w:rPr>
              <w:t>Ryan White Part A Standards of Care and Service Delivery System</w:t>
            </w:r>
          </w:p>
          <w:p w:rsidR="002D660C" w:rsidRPr="000B5B66" w:rsidRDefault="002D660C" w:rsidP="006E7960">
            <w:pPr>
              <w:numPr>
                <w:ilvl w:val="0"/>
                <w:numId w:val="1"/>
              </w:numPr>
              <w:rPr>
                <w:rFonts w:cs="Arial"/>
                <w:szCs w:val="24"/>
              </w:rPr>
            </w:pPr>
            <w:r w:rsidRPr="000B5B66">
              <w:rPr>
                <w:rFonts w:cs="Arial"/>
                <w:szCs w:val="24"/>
              </w:rPr>
              <w:t>HIV Updates</w:t>
            </w:r>
          </w:p>
          <w:p w:rsidR="002D660C" w:rsidRPr="00DE4D08" w:rsidRDefault="002D660C" w:rsidP="006E7960">
            <w:pPr>
              <w:numPr>
                <w:ilvl w:val="0"/>
                <w:numId w:val="1"/>
              </w:numPr>
            </w:pPr>
            <w:r w:rsidRPr="000B5B66">
              <w:rPr>
                <w:rFonts w:cs="Arial"/>
                <w:szCs w:val="24"/>
              </w:rPr>
              <w:t>Universal precautions</w:t>
            </w:r>
          </w:p>
          <w:p w:rsidR="00DE4D08" w:rsidRPr="006A2707" w:rsidRDefault="00DE4D08" w:rsidP="006E7960">
            <w:pPr>
              <w:ind w:left="360"/>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6A2707" w:rsidRDefault="008015E1" w:rsidP="006E7960">
            <w:pPr>
              <w:rPr>
                <w:bCs w:val="0"/>
              </w:rPr>
            </w:pPr>
            <w:r>
              <w:rPr>
                <w:bCs w:val="0"/>
              </w:rPr>
              <w:t>3.7</w:t>
            </w:r>
          </w:p>
        </w:tc>
        <w:tc>
          <w:tcPr>
            <w:tcW w:w="3942" w:type="dxa"/>
            <w:tcBorders>
              <w:top w:val="single" w:sz="12" w:space="0" w:color="17365D" w:themeColor="text2" w:themeShade="BF"/>
              <w:bottom w:val="single" w:sz="12" w:space="0" w:color="17365D" w:themeColor="text2" w:themeShade="BF"/>
            </w:tcBorders>
          </w:tcPr>
          <w:p w:rsidR="006A2707" w:rsidRPr="006A2707" w:rsidRDefault="008015E1" w:rsidP="006E7960">
            <w:pPr>
              <w:rPr>
                <w:bCs w:val="0"/>
              </w:rPr>
            </w:pPr>
            <w:r>
              <w:rPr>
                <w:bCs w:val="0"/>
              </w:rPr>
              <w:t>Training documentation personnel file.</w:t>
            </w:r>
          </w:p>
        </w:tc>
      </w:tr>
    </w:tbl>
    <w:p w:rsidR="00B32A01" w:rsidRDefault="00B32A01" w:rsidP="00B32A01">
      <w:pPr>
        <w:spacing w:after="0"/>
      </w:pPr>
    </w:p>
    <w:tbl>
      <w:tblPr>
        <w:tblStyle w:val="TableGrid"/>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8015E1" w:rsidTr="00B32A01">
        <w:tc>
          <w:tcPr>
            <w:tcW w:w="9576" w:type="dxa"/>
            <w:tcBorders>
              <w:top w:val="single" w:sz="4" w:space="0" w:color="auto"/>
              <w:bottom w:val="single" w:sz="4" w:space="0" w:color="auto"/>
            </w:tcBorders>
            <w:shd w:val="clear" w:color="auto" w:fill="auto"/>
          </w:tcPr>
          <w:p w:rsidR="008015E1" w:rsidRPr="0069155E" w:rsidRDefault="008015E1" w:rsidP="0069155E">
            <w:pPr>
              <w:pStyle w:val="Heading3"/>
              <w:spacing w:before="0"/>
              <w:outlineLvl w:val="2"/>
              <w:rPr>
                <w:color w:val="FFFFFF" w:themeColor="background1"/>
                <w:sz w:val="28"/>
              </w:rPr>
            </w:pPr>
            <w:bookmarkStart w:id="9" w:name="_Toc489280861"/>
            <w:r w:rsidRPr="0069155E">
              <w:rPr>
                <w:sz w:val="28"/>
              </w:rPr>
              <w:t>4.0 Cultural and Linguistic Competence</w:t>
            </w:r>
            <w:bookmarkEnd w:id="9"/>
          </w:p>
        </w:tc>
      </w:tr>
    </w:tbl>
    <w:p w:rsidR="00B32A01" w:rsidRDefault="00B32A01" w:rsidP="00B32A01">
      <w:pPr>
        <w:spacing w:after="0"/>
      </w:pPr>
    </w:p>
    <w:tbl>
      <w:tblPr>
        <w:tblStyle w:val="TableGrid"/>
        <w:tblW w:w="9576" w:type="dxa"/>
        <w:tblLayout w:type="fixed"/>
        <w:tblLook w:val="04A0" w:firstRow="1" w:lastRow="0" w:firstColumn="1" w:lastColumn="0" w:noHBand="0" w:noVBand="1"/>
      </w:tblPr>
      <w:tblGrid>
        <w:gridCol w:w="9576"/>
      </w:tblGrid>
      <w:tr w:rsidR="00AC0614" w:rsidTr="00B32A01">
        <w:tc>
          <w:tcPr>
            <w:tcW w:w="9576" w:type="dxa"/>
            <w:tcBorders>
              <w:top w:val="nil"/>
              <w:left w:val="nil"/>
              <w:bottom w:val="nil"/>
              <w:right w:val="nil"/>
            </w:tcBorders>
          </w:tcPr>
          <w:p w:rsidR="00AC0614" w:rsidRPr="006B29BF" w:rsidRDefault="00AC0614" w:rsidP="00B32A01">
            <w:pPr>
              <w:rPr>
                <w:rFonts w:eastAsia="Times New Roman" w:cs="Arial"/>
                <w:szCs w:val="24"/>
              </w:rPr>
            </w:pPr>
            <w:r w:rsidRPr="006B29BF">
              <w:rPr>
                <w:rFonts w:eastAsia="Times New Roman" w:cs="Arial"/>
                <w:szCs w:val="24"/>
              </w:rPr>
              <w:t>The objective for establishing standards of care for cultural and linguistic competence is to provide services that are culturally and linguistically appropriate.</w:t>
            </w:r>
          </w:p>
          <w:p w:rsidR="00AC0614" w:rsidRPr="006B29BF" w:rsidRDefault="00AC0614" w:rsidP="00AC0614">
            <w:pPr>
              <w:spacing w:before="240"/>
              <w:rPr>
                <w:rFonts w:eastAsia="Times New Roman" w:cs="Arial"/>
                <w:szCs w:val="24"/>
              </w:rPr>
            </w:pPr>
            <w:r w:rsidRPr="006B29BF">
              <w:rPr>
                <w:rFonts w:eastAsia="Times New Roman" w:cs="Arial"/>
                <w:szCs w:val="24"/>
              </w:rPr>
              <w:t>Culture is the integrated patterns of human behavior that include the language, thoughts, communications, actions, customs, beliefs, and values of individuals and groups, all which may be influenced by race, ethnicity, religion, class, age, gender, gender identity, disability, sexual orientation, and other aspects of life upon which people construct their identities. In our work with people living with HIV, culture may also include past or current substance use, homelessness, mental health, and/or incarceration, among others.</w:t>
            </w:r>
          </w:p>
          <w:p w:rsidR="00AC0614" w:rsidRDefault="00AC0614" w:rsidP="00AC0614">
            <w:pPr>
              <w:spacing w:before="240"/>
              <w:rPr>
                <w:rFonts w:eastAsia="Times New Roman" w:cs="Arial"/>
                <w:szCs w:val="24"/>
              </w:rPr>
            </w:pPr>
            <w:r w:rsidRPr="006B29BF">
              <w:rPr>
                <w:rFonts w:eastAsia="Times New Roman" w:cs="Arial"/>
                <w:szCs w:val="24"/>
              </w:rPr>
              <w:t xml:space="preserve">Cultural competence is a set of behaviors, attitudes, and policies that come together in a system, agency, or among individuals that enables effective delivery of services. Linguistic competence is the ability to communicate effectively with consumers, including those whose preferred language is not the same as the provider’s, those who are illiterate or have low literacy skills, and/or those with disabilities. Cultural and linguistic competence is a goal toward which all providers must aspire, but one that may never be completely achieved given the diversity of languages and cultures throughout our communities. However, all providers should be involved in a continual process of learning, personal growth, experience, education, and training that increases cultural and linguistic competence and enhances the ability to provide culturally and </w:t>
            </w:r>
            <w:r w:rsidRPr="006B29BF">
              <w:rPr>
                <w:rFonts w:eastAsia="Times New Roman" w:cs="Arial"/>
                <w:szCs w:val="24"/>
              </w:rPr>
              <w:lastRenderedPageBreak/>
              <w:t xml:space="preserve">linguistically appropriate services to all individuals living with HIV/AIDS. </w:t>
            </w:r>
          </w:p>
          <w:p w:rsidR="00AC0614" w:rsidRPr="006B29BF" w:rsidRDefault="00AC0614" w:rsidP="00AC0614">
            <w:pPr>
              <w:spacing w:before="240"/>
              <w:rPr>
                <w:rFonts w:eastAsia="Times New Roman" w:cs="Arial"/>
                <w:szCs w:val="24"/>
              </w:rPr>
            </w:pPr>
            <w:r w:rsidRPr="006B29BF">
              <w:rPr>
                <w:rFonts w:eastAsia="Times New Roman" w:cs="Arial"/>
                <w:b/>
                <w:i/>
                <w:szCs w:val="24"/>
              </w:rPr>
              <w:t>Culturally and linguistically appropriate services</w:t>
            </w:r>
            <w:r w:rsidRPr="006B29BF">
              <w:rPr>
                <w:rFonts w:eastAsia="Times New Roman" w:cs="Arial"/>
                <w:szCs w:val="24"/>
              </w:rPr>
              <w:t xml:space="preserve"> are services that:</w:t>
            </w:r>
          </w:p>
          <w:p w:rsidR="00AC0614" w:rsidRPr="007D4104" w:rsidRDefault="00AC0614" w:rsidP="001B1B43">
            <w:pPr>
              <w:pStyle w:val="ListParagraph"/>
              <w:numPr>
                <w:ilvl w:val="0"/>
                <w:numId w:val="93"/>
              </w:numPr>
              <w:rPr>
                <w:rFonts w:eastAsia="Times New Roman" w:cs="Arial"/>
                <w:szCs w:val="24"/>
              </w:rPr>
            </w:pPr>
            <w:r w:rsidRPr="007D4104">
              <w:rPr>
                <w:rFonts w:eastAsia="Times New Roman" w:cs="Arial"/>
                <w:szCs w:val="24"/>
              </w:rPr>
              <w:t>Respect, relate, and respond to a consumer’s culture, in a non</w:t>
            </w:r>
            <w:r w:rsidRPr="007D4104">
              <w:rPr>
                <w:rFonts w:ascii="Cambria Math" w:eastAsia="Times New Roman" w:hAnsi="Cambria Math" w:cs="Cambria Math"/>
                <w:szCs w:val="24"/>
              </w:rPr>
              <w:t>‐</w:t>
            </w:r>
            <w:r w:rsidRPr="007D4104">
              <w:rPr>
                <w:rFonts w:eastAsia="Times New Roman" w:cs="Arial"/>
                <w:szCs w:val="24"/>
              </w:rPr>
              <w:t>judgmental, respectful, and supportive manner;</w:t>
            </w:r>
          </w:p>
          <w:p w:rsidR="00AC0614" w:rsidRPr="006B29BF" w:rsidRDefault="00AC0614" w:rsidP="001B1B43">
            <w:pPr>
              <w:pStyle w:val="ListParagraph"/>
              <w:numPr>
                <w:ilvl w:val="0"/>
                <w:numId w:val="33"/>
              </w:numPr>
              <w:rPr>
                <w:rFonts w:eastAsia="Times New Roman" w:cs="Arial"/>
                <w:szCs w:val="24"/>
              </w:rPr>
            </w:pPr>
            <w:r w:rsidRPr="006B29BF">
              <w:rPr>
                <w:rFonts w:eastAsia="Times New Roman" w:cs="Arial"/>
                <w:szCs w:val="24"/>
              </w:rPr>
              <w:t>Are affirming and humane, and rely on staffing patterns that match the needs and reflect the culture and language of the communities being served; recognize the power differential that exists between the provider and the client and seek to create a more equal field of interaction; and are based on individualized assessment and stated client preferences rather than assumptions based on perceived or actual membership in any group or class.</w:t>
            </w:r>
          </w:p>
          <w:p w:rsidR="00AC0614" w:rsidRPr="006B29BF" w:rsidRDefault="00AC0614" w:rsidP="00AC0614">
            <w:pPr>
              <w:spacing w:before="240"/>
              <w:rPr>
                <w:rFonts w:eastAsia="Times New Roman" w:cs="Arial"/>
                <w:szCs w:val="24"/>
              </w:rPr>
            </w:pPr>
            <w:r w:rsidRPr="006B29BF">
              <w:rPr>
                <w:rFonts w:eastAsia="Times New Roman" w:cs="Arial"/>
                <w:szCs w:val="24"/>
              </w:rPr>
              <w:t>As part of the on</w:t>
            </w:r>
            <w:r w:rsidRPr="006B29BF">
              <w:rPr>
                <w:rFonts w:ascii="Cambria Math" w:eastAsia="Times New Roman" w:hAnsi="Cambria Math" w:cs="Cambria Math"/>
                <w:szCs w:val="24"/>
              </w:rPr>
              <w:t>‐</w:t>
            </w:r>
            <w:r w:rsidRPr="006B29BF">
              <w:rPr>
                <w:rFonts w:eastAsia="Times New Roman" w:cs="Arial"/>
                <w:szCs w:val="24"/>
              </w:rPr>
              <w:t xml:space="preserve">going process of building cultural and linguistic competence, providers should strive to develop: </w:t>
            </w:r>
          </w:p>
          <w:p w:rsidR="00AC0614" w:rsidRPr="006B29BF" w:rsidRDefault="00AC0614" w:rsidP="001B1B43">
            <w:pPr>
              <w:pStyle w:val="ListParagraph"/>
              <w:numPr>
                <w:ilvl w:val="0"/>
                <w:numId w:val="34"/>
              </w:numPr>
              <w:rPr>
                <w:rFonts w:eastAsia="Times New Roman" w:cs="Arial"/>
                <w:szCs w:val="24"/>
              </w:rPr>
            </w:pPr>
            <w:r w:rsidRPr="006B29BF">
              <w:rPr>
                <w:rFonts w:eastAsia="Times New Roman" w:cs="Arial"/>
                <w:szCs w:val="24"/>
              </w:rPr>
              <w:t>A comfort with and appreciation of cultural and linguistic difference;</w:t>
            </w:r>
          </w:p>
          <w:p w:rsidR="00AC0614" w:rsidRPr="006B29BF" w:rsidRDefault="00AC0614" w:rsidP="001B1B43">
            <w:pPr>
              <w:pStyle w:val="ListParagraph"/>
              <w:numPr>
                <w:ilvl w:val="0"/>
                <w:numId w:val="34"/>
              </w:numPr>
              <w:rPr>
                <w:rFonts w:eastAsia="Times New Roman" w:cs="Arial"/>
                <w:szCs w:val="24"/>
              </w:rPr>
            </w:pPr>
            <w:r w:rsidRPr="006B29BF">
              <w:rPr>
                <w:rFonts w:eastAsia="Times New Roman" w:cs="Arial"/>
                <w:szCs w:val="24"/>
              </w:rPr>
              <w:t>Interpersonal behaviors that demonstrate and convey concern and respect for all cultures;</w:t>
            </w:r>
          </w:p>
          <w:p w:rsidR="00AC0614" w:rsidRPr="006B29BF" w:rsidRDefault="00AC0614" w:rsidP="001B1B43">
            <w:pPr>
              <w:pStyle w:val="ListParagraph"/>
              <w:numPr>
                <w:ilvl w:val="0"/>
                <w:numId w:val="34"/>
              </w:numPr>
              <w:rPr>
                <w:rFonts w:eastAsia="Times New Roman" w:cs="Arial"/>
                <w:szCs w:val="24"/>
              </w:rPr>
            </w:pPr>
            <w:r w:rsidRPr="006B29BF">
              <w:rPr>
                <w:rFonts w:eastAsia="Times New Roman" w:cs="Arial"/>
                <w:szCs w:val="24"/>
              </w:rPr>
              <w:t>The comfort and ability to acknowledge the limits of personal cultural and linguistic competence and the skills to elicit, learn  from,  and  respond  constructively  to  relevant personal and cultural issues during service interactions; and</w:t>
            </w:r>
          </w:p>
          <w:p w:rsidR="00AC0614" w:rsidRDefault="00AC0614" w:rsidP="001B1B43">
            <w:pPr>
              <w:pStyle w:val="ListParagraph"/>
              <w:numPr>
                <w:ilvl w:val="0"/>
                <w:numId w:val="34"/>
              </w:numPr>
              <w:rPr>
                <w:rFonts w:eastAsia="Times New Roman" w:cs="Arial"/>
                <w:szCs w:val="24"/>
              </w:rPr>
            </w:pPr>
            <w:r w:rsidRPr="006B29BF">
              <w:rPr>
                <w:rFonts w:eastAsia="Times New Roman" w:cs="Arial"/>
                <w:szCs w:val="24"/>
              </w:rPr>
              <w:t>A commitment to increasing personal knowledge about the impact of culture on health and specific knowledge about the communities being served.</w:t>
            </w:r>
          </w:p>
          <w:p w:rsidR="00AC0614" w:rsidRDefault="00AC0614" w:rsidP="00AC0614">
            <w:pPr>
              <w:spacing w:before="240"/>
              <w:rPr>
                <w:rFonts w:eastAsia="Times New Roman" w:cs="Arial"/>
                <w:szCs w:val="24"/>
              </w:rPr>
            </w:pPr>
            <w:r w:rsidRPr="007D4104">
              <w:rPr>
                <w:rFonts w:eastAsia="Times New Roman" w:cs="Arial"/>
                <w:b/>
                <w:szCs w:val="24"/>
              </w:rPr>
              <w:t xml:space="preserve">Ongoing trainings </w:t>
            </w:r>
            <w:r w:rsidRPr="007D4104">
              <w:rPr>
                <w:rFonts w:eastAsia="Times New Roman" w:cs="Arial"/>
                <w:szCs w:val="24"/>
              </w:rPr>
              <w:t>that help build cultural and linguistic competence may include traditional cultural</w:t>
            </w:r>
            <w:r w:rsidRPr="007D4104">
              <w:rPr>
                <w:rFonts w:eastAsia="Times New Roman" w:cs="Arial"/>
                <w:w w:val="99"/>
                <w:szCs w:val="24"/>
              </w:rPr>
              <w:t xml:space="preserve"> </w:t>
            </w:r>
            <w:r w:rsidRPr="007D4104">
              <w:rPr>
                <w:rFonts w:eastAsia="Times New Roman" w:cs="Arial"/>
                <w:szCs w:val="24"/>
              </w:rPr>
              <w:t>and linguistic competency trainings, as well as a range of trainings that help build specific skills and knowledge to work and communicate more effectively with the communities we serve. The provider agency is responsible for ensuring this training is provided to staff on an annual basis.</w:t>
            </w:r>
          </w:p>
        </w:tc>
      </w:tr>
    </w:tbl>
    <w:p w:rsidR="00C33AAA" w:rsidRDefault="00C33AAA" w:rsidP="00C33AAA">
      <w:pPr>
        <w:spacing w:after="0"/>
        <w:jc w:val="both"/>
        <w:rPr>
          <w:rFonts w:ascii="Arial" w:hAnsi="Arial" w:cs="Arial"/>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176"/>
        <w:gridCol w:w="720"/>
        <w:gridCol w:w="3942"/>
      </w:tblGrid>
      <w:tr w:rsidR="00C33AAA" w:rsidTr="00EF24E6">
        <w:tc>
          <w:tcPr>
            <w:tcW w:w="9558" w:type="dxa"/>
            <w:gridSpan w:val="4"/>
            <w:shd w:val="clear" w:color="auto" w:fill="17365D" w:themeFill="text2" w:themeFillShade="BF"/>
          </w:tcPr>
          <w:p w:rsidR="00C33AAA" w:rsidRPr="001F30B2" w:rsidRDefault="005A5EA9" w:rsidP="00EF24E6">
            <w:pPr>
              <w:pStyle w:val="Heading4"/>
              <w:spacing w:before="0"/>
              <w:outlineLvl w:val="3"/>
              <w:rPr>
                <w:bCs/>
              </w:rPr>
            </w:pPr>
            <w:bookmarkStart w:id="10" w:name="_Toc487439022"/>
            <w:r w:rsidRPr="00EF24E6">
              <w:rPr>
                <w:color w:val="FFFFFF" w:themeColor="background1"/>
                <w:sz w:val="28"/>
              </w:rPr>
              <w:t>4.0 Cultural and Linguistic Competence</w:t>
            </w:r>
            <w:bookmarkEnd w:id="10"/>
          </w:p>
        </w:tc>
      </w:tr>
      <w:tr w:rsidR="00EF24E6" w:rsidTr="00EF24E6">
        <w:tc>
          <w:tcPr>
            <w:tcW w:w="4896" w:type="dxa"/>
            <w:gridSpan w:val="2"/>
            <w:vAlign w:val="center"/>
          </w:tcPr>
          <w:p w:rsidR="00EF24E6" w:rsidRPr="006B29BF" w:rsidRDefault="00EF24E6" w:rsidP="00C33AAA">
            <w:pPr>
              <w:jc w:val="center"/>
              <w:rPr>
                <w:b/>
                <w:bCs w:val="0"/>
                <w:sz w:val="28"/>
              </w:rPr>
            </w:pPr>
          </w:p>
        </w:tc>
        <w:tc>
          <w:tcPr>
            <w:tcW w:w="4662" w:type="dxa"/>
            <w:gridSpan w:val="2"/>
            <w:vAlign w:val="center"/>
          </w:tcPr>
          <w:p w:rsidR="00EF24E6" w:rsidRPr="006B29BF" w:rsidRDefault="00EF24E6" w:rsidP="00C33AAA">
            <w:pPr>
              <w:jc w:val="center"/>
              <w:rPr>
                <w:b/>
                <w:bCs w:val="0"/>
                <w:sz w:val="28"/>
              </w:rPr>
            </w:pPr>
          </w:p>
        </w:tc>
      </w:tr>
      <w:tr w:rsidR="00C33AAA" w:rsidTr="00EF24E6">
        <w:tc>
          <w:tcPr>
            <w:tcW w:w="4896" w:type="dxa"/>
            <w:gridSpan w:val="2"/>
            <w:tcBorders>
              <w:bottom w:val="single" w:sz="12" w:space="0" w:color="17365D" w:themeColor="text2" w:themeShade="BF"/>
              <w:right w:val="single" w:sz="12" w:space="0" w:color="17365D" w:themeColor="text2" w:themeShade="BF"/>
            </w:tcBorders>
            <w:vAlign w:val="center"/>
          </w:tcPr>
          <w:p w:rsidR="00C33AAA" w:rsidRPr="007D4104" w:rsidRDefault="00C33AAA" w:rsidP="00C33AAA">
            <w:pPr>
              <w:jc w:val="center"/>
              <w:rPr>
                <w:rStyle w:val="BookTitle"/>
              </w:rPr>
            </w:pPr>
            <w:r w:rsidRPr="007D4104">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C33AAA" w:rsidRPr="007D4104" w:rsidRDefault="00C33AAA" w:rsidP="00C33AAA">
            <w:pPr>
              <w:jc w:val="center"/>
              <w:rPr>
                <w:rStyle w:val="BookTitle"/>
              </w:rPr>
            </w:pPr>
            <w:r w:rsidRPr="007D4104">
              <w:rPr>
                <w:rStyle w:val="BookTitle"/>
              </w:rPr>
              <w:t>Measures</w:t>
            </w:r>
          </w:p>
        </w:tc>
      </w:tr>
      <w:tr w:rsidR="00C33AAA" w:rsidTr="00C33AAA">
        <w:tc>
          <w:tcPr>
            <w:tcW w:w="720" w:type="dxa"/>
            <w:tcBorders>
              <w:top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4.1</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C33AAA" w:rsidRPr="00E74196" w:rsidRDefault="00B94584" w:rsidP="007D4104">
            <w:pPr>
              <w:rPr>
                <w:bCs w:val="0"/>
                <w:szCs w:val="24"/>
              </w:rPr>
            </w:pPr>
            <w:r w:rsidRPr="00E74196">
              <w:rPr>
                <w:bCs w:val="0"/>
                <w:szCs w:val="24"/>
              </w:rPr>
              <w:t>Programs recruit, retain, and promote a diverse staff that reflects the cultural and linguistic diversity of the community.</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4.1</w:t>
            </w:r>
          </w:p>
        </w:tc>
        <w:tc>
          <w:tcPr>
            <w:tcW w:w="3942" w:type="dxa"/>
            <w:tcBorders>
              <w:top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Programs have a strategy on file to recruit, retain and promote qualified, diverse, and linguistically culturally competent administrative, clinical, and support staff who are trained and qualified to address the needs of people living with HIV/AIDS.</w:t>
            </w:r>
          </w:p>
          <w:p w:rsidR="00DE4D08" w:rsidRPr="00E74196" w:rsidRDefault="00DE4D08" w:rsidP="007D4104">
            <w:pPr>
              <w:rPr>
                <w:bCs w:val="0"/>
                <w:szCs w:val="24"/>
              </w:rPr>
            </w:pPr>
          </w:p>
        </w:tc>
      </w:tr>
      <w:tr w:rsidR="00C33AAA" w:rsidTr="00C33AAA">
        <w:tc>
          <w:tcPr>
            <w:tcW w:w="720" w:type="dxa"/>
            <w:tcBorders>
              <w:top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4.2</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C33AAA" w:rsidRPr="00E74196" w:rsidRDefault="005A5EA9" w:rsidP="007D4104">
            <w:pPr>
              <w:rPr>
                <w:bCs w:val="0"/>
                <w:szCs w:val="24"/>
              </w:rPr>
            </w:pPr>
            <w:r w:rsidRPr="00E74196">
              <w:rPr>
                <w:bCs w:val="0"/>
                <w:szCs w:val="24"/>
              </w:rPr>
              <w:t xml:space="preserve">All staff receives on-going training and education to build cultural and linguistic competence and/or deliver culturally and linguistically </w:t>
            </w:r>
            <w:r w:rsidRPr="00E74196">
              <w:rPr>
                <w:bCs w:val="0"/>
                <w:szCs w:val="24"/>
              </w:rPr>
              <w:lastRenderedPageBreak/>
              <w:t xml:space="preserve">appropriate services. </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lastRenderedPageBreak/>
              <w:t>4.2</w:t>
            </w:r>
          </w:p>
        </w:tc>
        <w:tc>
          <w:tcPr>
            <w:tcW w:w="3942" w:type="dxa"/>
            <w:tcBorders>
              <w:top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All staff members receive appropriate training within the first six</w:t>
            </w:r>
            <w:r w:rsidR="00055AAB" w:rsidRPr="00E74196">
              <w:rPr>
                <w:bCs w:val="0"/>
                <w:szCs w:val="24"/>
              </w:rPr>
              <w:t xml:space="preserve"> (6) </w:t>
            </w:r>
            <w:r w:rsidRPr="00E74196">
              <w:rPr>
                <w:bCs w:val="0"/>
                <w:szCs w:val="24"/>
              </w:rPr>
              <w:t xml:space="preserve">months of employment and annually thereafter as needed. </w:t>
            </w:r>
            <w:r w:rsidRPr="00E74196">
              <w:rPr>
                <w:bCs w:val="0"/>
                <w:szCs w:val="24"/>
              </w:rPr>
              <w:lastRenderedPageBreak/>
              <w:t>Copies of training verification in personnel file.</w:t>
            </w:r>
          </w:p>
          <w:p w:rsidR="00DE4D08" w:rsidRPr="00E74196" w:rsidRDefault="00DE4D08" w:rsidP="007D4104">
            <w:pPr>
              <w:rPr>
                <w:bCs w:val="0"/>
                <w:szCs w:val="24"/>
              </w:rPr>
            </w:pPr>
          </w:p>
        </w:tc>
      </w:tr>
      <w:tr w:rsidR="00C33AAA" w:rsidTr="00C33AAA">
        <w:tc>
          <w:tcPr>
            <w:tcW w:w="720" w:type="dxa"/>
            <w:tcBorders>
              <w:top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lastRenderedPageBreak/>
              <w:t>4.3</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C33AAA" w:rsidRPr="00E74196" w:rsidRDefault="005A5EA9" w:rsidP="007D4104">
            <w:pPr>
              <w:rPr>
                <w:bCs w:val="0"/>
                <w:szCs w:val="24"/>
              </w:rPr>
            </w:pPr>
            <w:r w:rsidRPr="00E74196">
              <w:rPr>
                <w:bCs w:val="0"/>
                <w:szCs w:val="24"/>
              </w:rPr>
              <w:t>Programs assess the cultural and linguistic needs, resources, and assets of its service area and target population(s).</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4.3</w:t>
            </w:r>
          </w:p>
        </w:tc>
        <w:tc>
          <w:tcPr>
            <w:tcW w:w="3942" w:type="dxa"/>
            <w:tcBorders>
              <w:top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Programs collect and use demographic, epidemiological, and service utilization data in service planning for target population(s).</w:t>
            </w:r>
          </w:p>
          <w:p w:rsidR="00DE4D08" w:rsidRPr="00E74196" w:rsidRDefault="00DE4D08" w:rsidP="007D4104">
            <w:pPr>
              <w:rPr>
                <w:bCs w:val="0"/>
                <w:szCs w:val="24"/>
              </w:rPr>
            </w:pPr>
          </w:p>
        </w:tc>
      </w:tr>
      <w:tr w:rsidR="00C33AAA" w:rsidTr="00C33AAA">
        <w:tc>
          <w:tcPr>
            <w:tcW w:w="720" w:type="dxa"/>
            <w:tcBorders>
              <w:top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4.4</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Default="002D660C" w:rsidP="007D4104">
            <w:pPr>
              <w:pStyle w:val="ListParagraph"/>
              <w:ind w:left="0"/>
              <w:rPr>
                <w:rFonts w:cs="Arial"/>
                <w:szCs w:val="24"/>
              </w:rPr>
            </w:pPr>
            <w:r w:rsidRPr="00E74196">
              <w:rPr>
                <w:rFonts w:cs="Arial"/>
                <w:szCs w:val="24"/>
              </w:rPr>
              <w:t>Programs’ physical environment and facilities are clean, well-maintained, and accessible to all populations served.</w:t>
            </w:r>
          </w:p>
          <w:p w:rsidR="00B32A01" w:rsidRPr="00E74196" w:rsidRDefault="00B32A01" w:rsidP="007D4104">
            <w:pPr>
              <w:pStyle w:val="ListParagraph"/>
              <w:ind w:left="0"/>
              <w:rPr>
                <w:rFonts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4.4</w:t>
            </w:r>
          </w:p>
        </w:tc>
        <w:tc>
          <w:tcPr>
            <w:tcW w:w="3942" w:type="dxa"/>
            <w:tcBorders>
              <w:top w:val="single" w:sz="12" w:space="0" w:color="17365D" w:themeColor="text2" w:themeShade="BF"/>
              <w:bottom w:val="single" w:sz="12" w:space="0" w:color="17365D" w:themeColor="text2" w:themeShade="BF"/>
            </w:tcBorders>
          </w:tcPr>
          <w:p w:rsidR="00C33AAA" w:rsidRPr="00E74196" w:rsidRDefault="002D660C" w:rsidP="007D4104">
            <w:pPr>
              <w:rPr>
                <w:szCs w:val="24"/>
              </w:rPr>
            </w:pPr>
            <w:r w:rsidRPr="00E74196">
              <w:rPr>
                <w:rFonts w:cs="Arial"/>
                <w:szCs w:val="24"/>
              </w:rPr>
              <w:t>Recipient observation during site visit.</w:t>
            </w:r>
          </w:p>
        </w:tc>
      </w:tr>
      <w:tr w:rsidR="00C33AAA" w:rsidTr="00C33AAA">
        <w:tc>
          <w:tcPr>
            <w:tcW w:w="720" w:type="dxa"/>
            <w:tcBorders>
              <w:top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 xml:space="preserve">4.5 </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2D660C" w:rsidRPr="00E74196" w:rsidRDefault="002D660C" w:rsidP="007D4104">
            <w:pPr>
              <w:rPr>
                <w:rFonts w:cs="Arial"/>
                <w:szCs w:val="24"/>
              </w:rPr>
            </w:pPr>
            <w:r w:rsidRPr="00E74196">
              <w:rPr>
                <w:rFonts w:cs="Arial"/>
                <w:szCs w:val="24"/>
              </w:rPr>
              <w:t>All programs ensure access to services for consumers with limited English proficiency  in one of the following ways (listed in order of preference):</w:t>
            </w:r>
          </w:p>
          <w:p w:rsidR="002D660C" w:rsidRPr="00E74196" w:rsidRDefault="002D660C" w:rsidP="001B1B43">
            <w:pPr>
              <w:numPr>
                <w:ilvl w:val="0"/>
                <w:numId w:val="18"/>
              </w:numPr>
              <w:ind w:left="242" w:hanging="242"/>
              <w:rPr>
                <w:rFonts w:cs="Arial"/>
                <w:szCs w:val="24"/>
              </w:rPr>
            </w:pPr>
            <w:r w:rsidRPr="00E74196">
              <w:rPr>
                <w:rFonts w:cs="Arial"/>
                <w:szCs w:val="24"/>
              </w:rPr>
              <w:t>Bilingual staff who can communicate directly with clients in preferred language;</w:t>
            </w:r>
          </w:p>
          <w:p w:rsidR="002D660C" w:rsidRPr="00E74196" w:rsidRDefault="002D660C" w:rsidP="001B1B43">
            <w:pPr>
              <w:numPr>
                <w:ilvl w:val="0"/>
                <w:numId w:val="18"/>
              </w:numPr>
              <w:ind w:left="242" w:hanging="242"/>
              <w:rPr>
                <w:rFonts w:cs="Arial"/>
                <w:szCs w:val="24"/>
              </w:rPr>
            </w:pPr>
            <w:r w:rsidRPr="00E74196">
              <w:rPr>
                <w:rFonts w:cs="Arial"/>
                <w:szCs w:val="24"/>
              </w:rPr>
              <w:t>Face</w:t>
            </w:r>
            <w:r w:rsidRPr="00E74196">
              <w:rPr>
                <w:rFonts w:ascii="Cambria Math" w:hAnsi="Cambria Math" w:cs="Cambria Math"/>
                <w:szCs w:val="24"/>
              </w:rPr>
              <w:t>‐</w:t>
            </w:r>
            <w:r w:rsidRPr="00E74196">
              <w:rPr>
                <w:rFonts w:cs="Arial"/>
                <w:szCs w:val="24"/>
              </w:rPr>
              <w:t>to face interpretation provided by qua</w:t>
            </w:r>
            <w:r w:rsidRPr="00E74196">
              <w:rPr>
                <w:rFonts w:ascii="Cambria Math" w:hAnsi="Cambria Math" w:cs="Cambria Math"/>
                <w:szCs w:val="24"/>
              </w:rPr>
              <w:t>l</w:t>
            </w:r>
            <w:r w:rsidRPr="00E74196">
              <w:rPr>
                <w:rFonts w:cs="Arial"/>
                <w:szCs w:val="24"/>
              </w:rPr>
              <w:t>ified staff, contract interpreters, or volunteer interpreters;</w:t>
            </w:r>
          </w:p>
          <w:p w:rsidR="002D660C" w:rsidRPr="00E74196" w:rsidRDefault="002D660C" w:rsidP="001B1B43">
            <w:pPr>
              <w:numPr>
                <w:ilvl w:val="0"/>
                <w:numId w:val="18"/>
              </w:numPr>
              <w:ind w:left="242" w:hanging="242"/>
              <w:rPr>
                <w:rFonts w:cs="Arial"/>
                <w:szCs w:val="24"/>
              </w:rPr>
            </w:pPr>
            <w:r w:rsidRPr="00E74196">
              <w:rPr>
                <w:rFonts w:cs="Arial"/>
                <w:szCs w:val="24"/>
              </w:rPr>
              <w:t>Telephone interpreter services (for emergency or needs for infrequently encountered languages); or</w:t>
            </w:r>
          </w:p>
          <w:p w:rsidR="002D660C" w:rsidRPr="00E74196" w:rsidRDefault="002D660C" w:rsidP="001B1B43">
            <w:pPr>
              <w:numPr>
                <w:ilvl w:val="0"/>
                <w:numId w:val="18"/>
              </w:numPr>
              <w:ind w:left="242" w:hanging="242"/>
              <w:rPr>
                <w:rFonts w:cs="Arial"/>
                <w:szCs w:val="24"/>
              </w:rPr>
            </w:pPr>
            <w:r w:rsidRPr="00E74196">
              <w:rPr>
                <w:rFonts w:cs="Arial"/>
                <w:szCs w:val="24"/>
              </w:rPr>
              <w:t xml:space="preserve">Referral to programs with bilingual/bicultural clinical, administrative and support staff and/or interpretation services by a qualified bilingual/bicultural interpreter. </w:t>
            </w:r>
          </w:p>
          <w:p w:rsidR="002D660C" w:rsidRPr="00E74196" w:rsidRDefault="002D660C" w:rsidP="007D4104">
            <w:pPr>
              <w:ind w:left="242"/>
              <w:rPr>
                <w:rFonts w:cs="Arial"/>
                <w:szCs w:val="24"/>
              </w:rPr>
            </w:pPr>
          </w:p>
          <w:p w:rsidR="005A5EA9" w:rsidRPr="00E74196" w:rsidRDefault="005A5EA9" w:rsidP="007D4104">
            <w:pPr>
              <w:rPr>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C33AAA" w:rsidRPr="00E74196" w:rsidRDefault="005A5EA9" w:rsidP="007D4104">
            <w:pPr>
              <w:rPr>
                <w:bCs w:val="0"/>
                <w:szCs w:val="24"/>
              </w:rPr>
            </w:pPr>
            <w:r w:rsidRPr="00E74196">
              <w:rPr>
                <w:bCs w:val="0"/>
                <w:szCs w:val="24"/>
              </w:rPr>
              <w:t>4.5</w:t>
            </w:r>
          </w:p>
        </w:tc>
        <w:tc>
          <w:tcPr>
            <w:tcW w:w="3942" w:type="dxa"/>
            <w:tcBorders>
              <w:top w:val="single" w:sz="12" w:space="0" w:color="17365D" w:themeColor="text2" w:themeShade="BF"/>
              <w:bottom w:val="single" w:sz="12" w:space="0" w:color="17365D" w:themeColor="text2" w:themeShade="BF"/>
            </w:tcBorders>
          </w:tcPr>
          <w:p w:rsidR="002D660C" w:rsidRPr="00E74196" w:rsidRDefault="002D660C" w:rsidP="007D4104">
            <w:pPr>
              <w:rPr>
                <w:rFonts w:cs="Arial"/>
                <w:szCs w:val="24"/>
              </w:rPr>
            </w:pPr>
            <w:r w:rsidRPr="00E74196">
              <w:rPr>
                <w:rFonts w:cs="Arial"/>
                <w:szCs w:val="24"/>
              </w:rPr>
              <w:t>Programs document access to services for consumers with limited English proficiency through the following:</w:t>
            </w:r>
          </w:p>
          <w:p w:rsidR="002D660C" w:rsidRPr="00E74196" w:rsidRDefault="002D660C" w:rsidP="007D4104">
            <w:pPr>
              <w:numPr>
                <w:ilvl w:val="0"/>
                <w:numId w:val="2"/>
              </w:numPr>
              <w:rPr>
                <w:rFonts w:cs="Arial"/>
                <w:szCs w:val="24"/>
              </w:rPr>
            </w:pPr>
            <w:r w:rsidRPr="00E74196">
              <w:rPr>
                <w:rFonts w:cs="Arial"/>
                <w:szCs w:val="24"/>
              </w:rPr>
              <w:t>For bilingual staff, résumés on file</w:t>
            </w:r>
          </w:p>
          <w:p w:rsidR="002D660C" w:rsidRPr="00E74196" w:rsidRDefault="002D660C" w:rsidP="007D4104">
            <w:pPr>
              <w:numPr>
                <w:ilvl w:val="0"/>
                <w:numId w:val="2"/>
              </w:numPr>
              <w:rPr>
                <w:rFonts w:cs="Arial"/>
                <w:szCs w:val="24"/>
              </w:rPr>
            </w:pPr>
            <w:r w:rsidRPr="00E74196">
              <w:rPr>
                <w:rFonts w:cs="Arial"/>
                <w:szCs w:val="24"/>
              </w:rPr>
              <w:t>demonstrating bilingual proficiency and documentation on file of training on the skills and ethics of interpreting;</w:t>
            </w:r>
          </w:p>
          <w:p w:rsidR="002D660C" w:rsidRPr="00E74196" w:rsidRDefault="002D660C" w:rsidP="007D4104">
            <w:pPr>
              <w:numPr>
                <w:ilvl w:val="0"/>
                <w:numId w:val="2"/>
              </w:numPr>
              <w:rPr>
                <w:rFonts w:cs="Arial"/>
                <w:szCs w:val="24"/>
              </w:rPr>
            </w:pPr>
            <w:r w:rsidRPr="00E74196">
              <w:rPr>
                <w:rFonts w:cs="Arial"/>
                <w:szCs w:val="24"/>
              </w:rPr>
              <w:t>Copy of certifications on file for contract or volunteer interpreters;</w:t>
            </w:r>
          </w:p>
          <w:p w:rsidR="002D660C" w:rsidRPr="00E74196" w:rsidRDefault="002D660C" w:rsidP="007D4104">
            <w:pPr>
              <w:numPr>
                <w:ilvl w:val="0"/>
                <w:numId w:val="2"/>
              </w:numPr>
              <w:rPr>
                <w:rFonts w:cs="Arial"/>
                <w:szCs w:val="24"/>
              </w:rPr>
            </w:pPr>
            <w:r w:rsidRPr="00E74196">
              <w:rPr>
                <w:rFonts w:cs="Arial"/>
                <w:szCs w:val="24"/>
              </w:rPr>
              <w:t>Listings/directories on file for telephone interpreter services; or</w:t>
            </w:r>
          </w:p>
          <w:p w:rsidR="00E52B3A" w:rsidRPr="00E74196" w:rsidRDefault="002D660C" w:rsidP="007D4104">
            <w:pPr>
              <w:pStyle w:val="ListParagraph"/>
              <w:numPr>
                <w:ilvl w:val="0"/>
                <w:numId w:val="2"/>
              </w:numPr>
              <w:rPr>
                <w:szCs w:val="24"/>
              </w:rPr>
            </w:pPr>
            <w:r w:rsidRPr="00E74196">
              <w:rPr>
                <w:rFonts w:cs="Arial"/>
                <w:szCs w:val="24"/>
              </w:rPr>
              <w:t>Listings/directories on file for referring consumers to programs with bilingual/bicultural clinical, administrative and support staff, and/or interpretation services by a qualified bilingual/bicultural interpreter.</w:t>
            </w:r>
          </w:p>
          <w:p w:rsidR="00DE4D08" w:rsidRPr="00E74196" w:rsidRDefault="00DE4D08" w:rsidP="007D4104">
            <w:pPr>
              <w:pStyle w:val="ListParagraph"/>
              <w:ind w:left="360"/>
              <w:rPr>
                <w:szCs w:val="24"/>
              </w:rPr>
            </w:pPr>
          </w:p>
        </w:tc>
      </w:tr>
      <w:tr w:rsidR="00C33AAA" w:rsidTr="00C33AAA">
        <w:tc>
          <w:tcPr>
            <w:tcW w:w="720" w:type="dxa"/>
            <w:tcBorders>
              <w:top w:val="single" w:sz="12" w:space="0" w:color="17365D" w:themeColor="text2" w:themeShade="BF"/>
              <w:bottom w:val="single" w:sz="12" w:space="0" w:color="17365D" w:themeColor="text2" w:themeShade="BF"/>
            </w:tcBorders>
          </w:tcPr>
          <w:p w:rsidR="00C33AAA" w:rsidRPr="00E74196" w:rsidRDefault="00D7179F" w:rsidP="007D4104">
            <w:pPr>
              <w:rPr>
                <w:bCs w:val="0"/>
                <w:szCs w:val="24"/>
              </w:rPr>
            </w:pPr>
            <w:r w:rsidRPr="00E74196">
              <w:rPr>
                <w:bCs w:val="0"/>
                <w:szCs w:val="24"/>
              </w:rPr>
              <w:t>4.6</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C33AAA" w:rsidRPr="00E74196" w:rsidRDefault="002D660C" w:rsidP="007D4104">
            <w:pPr>
              <w:rPr>
                <w:bCs w:val="0"/>
                <w:szCs w:val="24"/>
              </w:rPr>
            </w:pPr>
            <w:r w:rsidRPr="00E74196">
              <w:rPr>
                <w:rFonts w:cs="Arial"/>
                <w:szCs w:val="24"/>
              </w:rPr>
              <w:t>Consumers are informed of their right to obtain no</w:t>
            </w:r>
            <w:r w:rsidRPr="00E74196">
              <w:rPr>
                <w:rFonts w:ascii="Cambria Math" w:hAnsi="Cambria Math" w:cs="Cambria Math"/>
                <w:szCs w:val="24"/>
              </w:rPr>
              <w:t>‐</w:t>
            </w:r>
            <w:r w:rsidRPr="00E74196">
              <w:rPr>
                <w:rFonts w:cs="Arial"/>
                <w:szCs w:val="24"/>
              </w:rPr>
              <w:t>cost interpreter services in their preferred language, including American Sign Language (ASL).</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C33AAA" w:rsidRPr="00E74196" w:rsidRDefault="00D7179F" w:rsidP="007D4104">
            <w:pPr>
              <w:rPr>
                <w:bCs w:val="0"/>
                <w:szCs w:val="24"/>
              </w:rPr>
            </w:pPr>
            <w:r w:rsidRPr="00E74196">
              <w:rPr>
                <w:bCs w:val="0"/>
                <w:szCs w:val="24"/>
              </w:rPr>
              <w:t>4.6</w:t>
            </w:r>
          </w:p>
        </w:tc>
        <w:tc>
          <w:tcPr>
            <w:tcW w:w="3942" w:type="dxa"/>
            <w:tcBorders>
              <w:top w:val="single" w:sz="12" w:space="0" w:color="17365D" w:themeColor="text2" w:themeShade="BF"/>
              <w:bottom w:val="single" w:sz="12" w:space="0" w:color="17365D" w:themeColor="text2" w:themeShade="BF"/>
            </w:tcBorders>
          </w:tcPr>
          <w:p w:rsidR="00C33AAA" w:rsidRPr="00E74196" w:rsidRDefault="002D660C" w:rsidP="007D4104">
            <w:pPr>
              <w:rPr>
                <w:rFonts w:cs="Arial"/>
                <w:szCs w:val="24"/>
              </w:rPr>
            </w:pPr>
            <w:r w:rsidRPr="00E74196">
              <w:rPr>
                <w:rFonts w:cs="Arial"/>
                <w:szCs w:val="24"/>
              </w:rPr>
              <w:t xml:space="preserve">Copy of </w:t>
            </w:r>
            <w:r w:rsidRPr="00E74196">
              <w:rPr>
                <w:rFonts w:cs="Arial"/>
                <w:i/>
                <w:szCs w:val="24"/>
              </w:rPr>
              <w:t>Consumers Rights and Responsibilities and grievance</w:t>
            </w:r>
            <w:r w:rsidRPr="00E74196">
              <w:rPr>
                <w:rFonts w:cs="Arial"/>
                <w:szCs w:val="24"/>
              </w:rPr>
              <w:t xml:space="preserve"> document includes notice of right to obtain no</w:t>
            </w:r>
            <w:r w:rsidRPr="00E74196">
              <w:rPr>
                <w:rFonts w:ascii="Cambria Math" w:hAnsi="Cambria Math" w:cs="Cambria Math"/>
                <w:szCs w:val="24"/>
              </w:rPr>
              <w:t>‐</w:t>
            </w:r>
            <w:r w:rsidRPr="00E74196">
              <w:rPr>
                <w:rFonts w:cs="Arial"/>
                <w:szCs w:val="24"/>
              </w:rPr>
              <w:t>cost interpreter services (see Universal Standard 2.4).</w:t>
            </w:r>
          </w:p>
          <w:p w:rsidR="00DE4D08" w:rsidRDefault="00DE4D08" w:rsidP="007D4104">
            <w:pPr>
              <w:rPr>
                <w:szCs w:val="24"/>
              </w:rPr>
            </w:pPr>
          </w:p>
          <w:p w:rsidR="00B32A01" w:rsidRPr="00E74196" w:rsidRDefault="00B32A01" w:rsidP="007D4104">
            <w:pPr>
              <w:rPr>
                <w:szCs w:val="24"/>
              </w:rPr>
            </w:pPr>
          </w:p>
        </w:tc>
      </w:tr>
      <w:tr w:rsidR="00C33AAA" w:rsidTr="00C33AAA">
        <w:tc>
          <w:tcPr>
            <w:tcW w:w="720" w:type="dxa"/>
            <w:tcBorders>
              <w:top w:val="single" w:sz="12" w:space="0" w:color="17365D" w:themeColor="text2" w:themeShade="BF"/>
              <w:bottom w:val="single" w:sz="12" w:space="0" w:color="17365D" w:themeColor="text2" w:themeShade="BF"/>
            </w:tcBorders>
          </w:tcPr>
          <w:p w:rsidR="00C33AAA" w:rsidRPr="00E74196" w:rsidRDefault="00D7179F" w:rsidP="007D4104">
            <w:pPr>
              <w:rPr>
                <w:bCs w:val="0"/>
                <w:szCs w:val="24"/>
              </w:rPr>
            </w:pPr>
            <w:r w:rsidRPr="00E74196">
              <w:rPr>
                <w:bCs w:val="0"/>
                <w:szCs w:val="24"/>
              </w:rPr>
              <w:lastRenderedPageBreak/>
              <w:t>4.7</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C33AAA" w:rsidRPr="00E74196" w:rsidRDefault="002D660C" w:rsidP="007D4104">
            <w:pPr>
              <w:rPr>
                <w:szCs w:val="24"/>
              </w:rPr>
            </w:pPr>
            <w:r w:rsidRPr="00E74196">
              <w:rPr>
                <w:rFonts w:cs="Arial"/>
                <w:szCs w:val="24"/>
              </w:rPr>
              <w:t>Consumers have access to linguistically appropriate signage and educational materials.</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C33AAA" w:rsidRPr="00E74196" w:rsidRDefault="00D7179F" w:rsidP="007D4104">
            <w:pPr>
              <w:rPr>
                <w:bCs w:val="0"/>
                <w:szCs w:val="24"/>
              </w:rPr>
            </w:pPr>
            <w:r w:rsidRPr="00E74196">
              <w:rPr>
                <w:bCs w:val="0"/>
                <w:szCs w:val="24"/>
              </w:rPr>
              <w:t>4.7</w:t>
            </w:r>
          </w:p>
        </w:tc>
        <w:tc>
          <w:tcPr>
            <w:tcW w:w="3942" w:type="dxa"/>
            <w:tcBorders>
              <w:top w:val="single" w:sz="12" w:space="0" w:color="17365D" w:themeColor="text2" w:themeShade="BF"/>
              <w:bottom w:val="single" w:sz="12" w:space="0" w:color="17365D" w:themeColor="text2" w:themeShade="BF"/>
            </w:tcBorders>
          </w:tcPr>
          <w:p w:rsidR="002D660C" w:rsidRPr="00E74196" w:rsidRDefault="002D660C" w:rsidP="007D4104">
            <w:pPr>
              <w:rPr>
                <w:rFonts w:eastAsia="Times New Roman" w:cs="Arial"/>
                <w:szCs w:val="24"/>
              </w:rPr>
            </w:pPr>
            <w:r w:rsidRPr="00E74196">
              <w:rPr>
                <w:rFonts w:eastAsia="Times New Roman" w:cs="Arial"/>
                <w:szCs w:val="24"/>
              </w:rPr>
              <w:t>Programs provide commonly used educational materials and other required documents (e.g., grievance procedures, release of information, rights and responsibilities, consent forms, etc.) in the threshold language of all threshold populations.</w:t>
            </w:r>
          </w:p>
          <w:p w:rsidR="00F9073E" w:rsidRPr="00E74196" w:rsidRDefault="00F9073E" w:rsidP="007D4104">
            <w:pPr>
              <w:rPr>
                <w:rFonts w:eastAsia="Times New Roman" w:cs="Arial"/>
                <w:bCs w:val="0"/>
                <w:szCs w:val="24"/>
              </w:rPr>
            </w:pPr>
          </w:p>
          <w:p w:rsidR="00DE4D08" w:rsidRDefault="002D660C" w:rsidP="007D4104">
            <w:pPr>
              <w:rPr>
                <w:rFonts w:eastAsia="Times New Roman" w:cs="Arial"/>
                <w:bCs w:val="0"/>
                <w:szCs w:val="24"/>
              </w:rPr>
            </w:pPr>
            <w:r w:rsidRPr="00E74196">
              <w:rPr>
                <w:rFonts w:eastAsia="Times New Roman" w:cs="Arial"/>
                <w:bCs w:val="0"/>
                <w:szCs w:val="24"/>
              </w:rPr>
              <w:t>Programs that do not have threshold populations have a documented plan for explaining appropriate documents and conveying information to those with limited English proficiency.</w:t>
            </w:r>
          </w:p>
          <w:p w:rsidR="00B32A01" w:rsidRPr="00E74196" w:rsidRDefault="00B32A01" w:rsidP="007D4104">
            <w:pPr>
              <w:rPr>
                <w:rFonts w:eastAsia="Times New Roman" w:cs="Arial"/>
                <w:bCs w:val="0"/>
                <w:szCs w:val="24"/>
              </w:rPr>
            </w:pPr>
          </w:p>
        </w:tc>
      </w:tr>
      <w:tr w:rsidR="00D7179F" w:rsidTr="00C33AAA">
        <w:tc>
          <w:tcPr>
            <w:tcW w:w="720" w:type="dxa"/>
            <w:tcBorders>
              <w:top w:val="single" w:sz="12" w:space="0" w:color="17365D" w:themeColor="text2" w:themeShade="BF"/>
              <w:bottom w:val="single" w:sz="12" w:space="0" w:color="17365D" w:themeColor="text2" w:themeShade="BF"/>
            </w:tcBorders>
          </w:tcPr>
          <w:p w:rsidR="00D7179F" w:rsidRDefault="00D7179F" w:rsidP="007D4104">
            <w:pPr>
              <w:rPr>
                <w:bCs w:val="0"/>
              </w:rPr>
            </w:pPr>
            <w:r>
              <w:rPr>
                <w:bCs w:val="0"/>
              </w:rPr>
              <w:t>4.8</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D7179F" w:rsidRDefault="002D660C" w:rsidP="007D4104">
            <w:r w:rsidRPr="000B5B66">
              <w:rPr>
                <w:rFonts w:cs="Arial"/>
                <w:szCs w:val="24"/>
              </w:rPr>
              <w:t>Programs conduct on</w:t>
            </w:r>
            <w:r w:rsidRPr="000B5B66">
              <w:rPr>
                <w:rFonts w:ascii="Cambria Math" w:hAnsi="Cambria Math" w:cs="Cambria Math"/>
                <w:szCs w:val="24"/>
              </w:rPr>
              <w:t>‐</w:t>
            </w:r>
            <w:r w:rsidRPr="000B5B66">
              <w:rPr>
                <w:rFonts w:cs="Arial"/>
                <w:szCs w:val="24"/>
              </w:rPr>
              <w:t>going assessments of the program and staff’s cultural and linguistic competence.</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D7179F" w:rsidRDefault="00D7179F" w:rsidP="007D4104">
            <w:pPr>
              <w:rPr>
                <w:bCs w:val="0"/>
              </w:rPr>
            </w:pPr>
            <w:r>
              <w:rPr>
                <w:bCs w:val="0"/>
              </w:rPr>
              <w:t>4.8</w:t>
            </w:r>
          </w:p>
        </w:tc>
        <w:tc>
          <w:tcPr>
            <w:tcW w:w="3942" w:type="dxa"/>
            <w:tcBorders>
              <w:top w:val="single" w:sz="12" w:space="0" w:color="17365D" w:themeColor="text2" w:themeShade="BF"/>
              <w:bottom w:val="single" w:sz="12" w:space="0" w:color="17365D" w:themeColor="text2" w:themeShade="BF"/>
            </w:tcBorders>
          </w:tcPr>
          <w:p w:rsidR="00D7179F" w:rsidRDefault="002D660C" w:rsidP="007D4104">
            <w:pPr>
              <w:rPr>
                <w:rFonts w:eastAsia="Times New Roman" w:cs="Arial"/>
                <w:szCs w:val="24"/>
              </w:rPr>
            </w:pPr>
            <w:r w:rsidRPr="002D660C">
              <w:rPr>
                <w:rFonts w:eastAsia="Times New Roman" w:cs="Arial"/>
                <w:szCs w:val="24"/>
              </w:rPr>
              <w:t>Programs integrate cultural competence measures into program and staff assessments (e.g., internal audits, performance improvement programs, patient satisfaction surveys, personnel evaluations, and/or outcome evaluations).</w:t>
            </w:r>
          </w:p>
          <w:p w:rsidR="00DE4D08" w:rsidRDefault="00DE4D08" w:rsidP="007D4104">
            <w:pPr>
              <w:rPr>
                <w:bCs w:val="0"/>
              </w:rPr>
            </w:pPr>
          </w:p>
        </w:tc>
      </w:tr>
    </w:tbl>
    <w:p w:rsidR="00EF24E6" w:rsidRDefault="007D4104" w:rsidP="00C33AAA">
      <w:pPr>
        <w:spacing w:after="0"/>
        <w:jc w:val="both"/>
        <w:rPr>
          <w:rFonts w:ascii="Arial" w:hAnsi="Arial" w:cs="Arial"/>
          <w:sz w:val="24"/>
        </w:rPr>
      </w:pPr>
      <w:r w:rsidRPr="0066400C">
        <w:rPr>
          <w:rFonts w:ascii="Arial" w:hAnsi="Arial" w:cs="Arial"/>
          <w:noProof/>
          <w:sz w:val="24"/>
        </w:rPr>
        <mc:AlternateContent>
          <mc:Choice Requires="wps">
            <w:drawing>
              <wp:anchor distT="0" distB="0" distL="114300" distR="114300" simplePos="0" relativeHeight="251670528" behindDoc="0" locked="0" layoutInCell="1" allowOverlap="1" wp14:anchorId="6101F67F" wp14:editId="235A42D3">
                <wp:simplePos x="0" y="0"/>
                <wp:positionH relativeFrom="column">
                  <wp:align>center</wp:align>
                </wp:positionH>
                <wp:positionV relativeFrom="paragraph">
                  <wp:posOffset>0</wp:posOffset>
                </wp:positionV>
                <wp:extent cx="60960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solidFill>
                          <a:srgbClr val="FFFFFF"/>
                        </a:solidFill>
                        <a:ln w="9525">
                          <a:solidFill>
                            <a:srgbClr val="000000"/>
                          </a:solidFill>
                          <a:miter lim="800000"/>
                          <a:headEnd/>
                          <a:tailEnd/>
                        </a:ln>
                      </wps:spPr>
                      <wps:txbx>
                        <w:txbxContent>
                          <w:p w:rsidR="00DE64CF" w:rsidRPr="007D4104" w:rsidRDefault="00DE64CF" w:rsidP="007D4104">
                            <w:pPr>
                              <w:spacing w:after="0" w:line="240" w:lineRule="auto"/>
                              <w:ind w:left="90" w:hanging="90"/>
                              <w:jc w:val="both"/>
                              <w:rPr>
                                <w:rFonts w:ascii="Arial" w:eastAsia="Times New Roman" w:hAnsi="Arial" w:cs="Arial"/>
                                <w:szCs w:val="20"/>
                              </w:rPr>
                            </w:pPr>
                            <w:r w:rsidRPr="007D4104">
                              <w:rPr>
                                <w:rFonts w:ascii="Arial" w:eastAsia="Times New Roman" w:hAnsi="Arial" w:cs="Arial"/>
                                <w:szCs w:val="20"/>
                              </w:rPr>
                              <w:t xml:space="preserve">A </w:t>
                            </w:r>
                            <w:r w:rsidRPr="007D4104">
                              <w:rPr>
                                <w:rFonts w:ascii="Arial" w:eastAsia="Times New Roman" w:hAnsi="Arial" w:cs="Arial"/>
                                <w:b/>
                                <w:bCs/>
                                <w:szCs w:val="20"/>
                              </w:rPr>
                              <w:t xml:space="preserve">threshold population </w:t>
                            </w:r>
                            <w:r w:rsidRPr="007D4104">
                              <w:rPr>
                                <w:rFonts w:ascii="Arial" w:eastAsia="Times New Roman" w:hAnsi="Arial" w:cs="Arial"/>
                                <w:szCs w:val="20"/>
                              </w:rPr>
                              <w:t>is a linguistic groups that makes up 15% or more of a program’s consumers and who share a common language other than English as a primary language. For example, if program XYZ serves 200 consumers and at least 30 of they</w:t>
                            </w:r>
                            <w:r w:rsidRPr="007D4104">
                              <w:rPr>
                                <w:rFonts w:ascii="Arial" w:eastAsia="Times New Roman" w:hAnsi="Arial" w:cs="Arial"/>
                                <w:w w:val="99"/>
                                <w:szCs w:val="20"/>
                              </w:rPr>
                              <w:t xml:space="preserve"> </w:t>
                            </w:r>
                            <w:r w:rsidRPr="007D4104">
                              <w:rPr>
                                <w:rFonts w:ascii="Arial" w:eastAsia="Times New Roman" w:hAnsi="Arial" w:cs="Arial"/>
                                <w:szCs w:val="20"/>
                              </w:rPr>
                              <w:t>speak Haitian</w:t>
                            </w:r>
                            <w:r w:rsidRPr="007D4104">
                              <w:rPr>
                                <w:rFonts w:ascii="Cambria Math" w:eastAsia="Times New Roman" w:hAnsi="Cambria Math" w:cs="Cambria Math"/>
                                <w:szCs w:val="20"/>
                              </w:rPr>
                              <w:t>‐</w:t>
                            </w:r>
                            <w:r w:rsidRPr="007D4104">
                              <w:rPr>
                                <w:rFonts w:ascii="Arial" w:eastAsia="Times New Roman" w:hAnsi="Arial" w:cs="Arial"/>
                                <w:szCs w:val="20"/>
                              </w:rPr>
                              <w:t>Creole as a primary language; that group would be considered a threshold population for that program and Haitian</w:t>
                            </w:r>
                            <w:r w:rsidRPr="007D4104">
                              <w:rPr>
                                <w:rFonts w:ascii="Cambria Math" w:eastAsia="Times New Roman" w:hAnsi="Cambria Math" w:cs="Cambria Math"/>
                                <w:szCs w:val="20"/>
                              </w:rPr>
                              <w:t>‐</w:t>
                            </w:r>
                            <w:r w:rsidRPr="007D4104">
                              <w:rPr>
                                <w:rFonts w:ascii="Arial" w:eastAsia="Times New Roman" w:hAnsi="Arial" w:cs="Arial"/>
                                <w:szCs w:val="20"/>
                              </w:rPr>
                              <w:t xml:space="preserve">Creole would be considered a </w:t>
                            </w:r>
                            <w:r w:rsidRPr="007D4104">
                              <w:rPr>
                                <w:rFonts w:ascii="Arial" w:eastAsia="Times New Roman" w:hAnsi="Arial" w:cs="Arial"/>
                                <w:b/>
                                <w:bCs/>
                                <w:szCs w:val="20"/>
                              </w:rPr>
                              <w:t>threshold language</w:t>
                            </w:r>
                            <w:r w:rsidRPr="007D4104">
                              <w:rPr>
                                <w:rFonts w:ascii="Arial" w:eastAsia="Times New Roman" w:hAnsi="Arial" w:cs="Arial"/>
                                <w:szCs w:val="20"/>
                              </w:rPr>
                              <w:t>. Some programs may target multiple groups, and therefore, may</w:t>
                            </w:r>
                            <w:r w:rsidRPr="007D4104">
                              <w:rPr>
                                <w:rFonts w:ascii="Arial" w:eastAsia="Times New Roman" w:hAnsi="Arial" w:cs="Arial"/>
                                <w:w w:val="99"/>
                                <w:szCs w:val="20"/>
                              </w:rPr>
                              <w:t xml:space="preserve"> </w:t>
                            </w:r>
                            <w:r w:rsidRPr="007D4104">
                              <w:rPr>
                                <w:rFonts w:ascii="Arial" w:eastAsia="Times New Roman" w:hAnsi="Arial" w:cs="Arial"/>
                                <w:szCs w:val="20"/>
                              </w:rPr>
                              <w:t>have multiple threshold populations and threshold languages; some programs may have no threshold populations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4" type="#_x0000_t202" style="position:absolute;left:0;text-align:left;margin-left:0;margin-top:0;width:480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">
                <v:textbox style="mso-fit-shape-to-text:t">
                  <w:txbxContent>
                    <w:p w:rsidR="00DE64CF" w:rsidRPr="007D4104" w:rsidRDefault="00DE64CF" w:rsidP="007D4104">
                      <w:pPr>
                        <w:spacing w:after="0" w:line="240" w:lineRule="auto"/>
                        <w:ind w:left="90" w:hanging="90"/>
                        <w:jc w:val="both"/>
                        <w:rPr>
                          <w:rFonts w:ascii="Arial" w:eastAsia="Times New Roman" w:hAnsi="Arial" w:cs="Arial"/>
                          <w:szCs w:val="20"/>
                        </w:rPr>
                      </w:pPr>
                      <w:r w:rsidRPr="007D4104">
                        <w:rPr>
                          <w:rFonts w:ascii="Arial" w:eastAsia="Times New Roman" w:hAnsi="Arial" w:cs="Arial"/>
                          <w:szCs w:val="20"/>
                        </w:rPr>
                        <w:t xml:space="preserve">A </w:t>
                      </w:r>
                      <w:r w:rsidRPr="007D4104">
                        <w:rPr>
                          <w:rFonts w:ascii="Arial" w:eastAsia="Times New Roman" w:hAnsi="Arial" w:cs="Arial"/>
                          <w:b/>
                          <w:bCs/>
                          <w:szCs w:val="20"/>
                        </w:rPr>
                        <w:t xml:space="preserve">threshold population </w:t>
                      </w:r>
                      <w:r w:rsidRPr="007D4104">
                        <w:rPr>
                          <w:rFonts w:ascii="Arial" w:eastAsia="Times New Roman" w:hAnsi="Arial" w:cs="Arial"/>
                          <w:szCs w:val="20"/>
                        </w:rPr>
                        <w:t>is a linguistic groups that makes up 15% or more of a program’s consumers and who share a common language other than English as a primary language. For example, if program XYZ serves 200 consumers and at least 30 of they</w:t>
                      </w:r>
                      <w:r w:rsidRPr="007D4104">
                        <w:rPr>
                          <w:rFonts w:ascii="Arial" w:eastAsia="Times New Roman" w:hAnsi="Arial" w:cs="Arial"/>
                          <w:w w:val="99"/>
                          <w:szCs w:val="20"/>
                        </w:rPr>
                        <w:t xml:space="preserve"> </w:t>
                      </w:r>
                      <w:r w:rsidRPr="007D4104">
                        <w:rPr>
                          <w:rFonts w:ascii="Arial" w:eastAsia="Times New Roman" w:hAnsi="Arial" w:cs="Arial"/>
                          <w:szCs w:val="20"/>
                        </w:rPr>
                        <w:t>speak Haitian</w:t>
                      </w:r>
                      <w:r w:rsidRPr="007D4104">
                        <w:rPr>
                          <w:rFonts w:ascii="Cambria Math" w:eastAsia="Times New Roman" w:hAnsi="Cambria Math" w:cs="Cambria Math"/>
                          <w:szCs w:val="20"/>
                        </w:rPr>
                        <w:t>‐</w:t>
                      </w:r>
                      <w:r w:rsidRPr="007D4104">
                        <w:rPr>
                          <w:rFonts w:ascii="Arial" w:eastAsia="Times New Roman" w:hAnsi="Arial" w:cs="Arial"/>
                          <w:szCs w:val="20"/>
                        </w:rPr>
                        <w:t>Creole as a primary language; that group would be considered a threshold population for that program and Haitian</w:t>
                      </w:r>
                      <w:r w:rsidRPr="007D4104">
                        <w:rPr>
                          <w:rFonts w:ascii="Cambria Math" w:eastAsia="Times New Roman" w:hAnsi="Cambria Math" w:cs="Cambria Math"/>
                          <w:szCs w:val="20"/>
                        </w:rPr>
                        <w:t>‐</w:t>
                      </w:r>
                      <w:r w:rsidRPr="007D4104">
                        <w:rPr>
                          <w:rFonts w:ascii="Arial" w:eastAsia="Times New Roman" w:hAnsi="Arial" w:cs="Arial"/>
                          <w:szCs w:val="20"/>
                        </w:rPr>
                        <w:t xml:space="preserve">Creole would be considered a </w:t>
                      </w:r>
                      <w:r w:rsidRPr="007D4104">
                        <w:rPr>
                          <w:rFonts w:ascii="Arial" w:eastAsia="Times New Roman" w:hAnsi="Arial" w:cs="Arial"/>
                          <w:b/>
                          <w:bCs/>
                          <w:szCs w:val="20"/>
                        </w:rPr>
                        <w:t>threshold language</w:t>
                      </w:r>
                      <w:r w:rsidRPr="007D4104">
                        <w:rPr>
                          <w:rFonts w:ascii="Arial" w:eastAsia="Times New Roman" w:hAnsi="Arial" w:cs="Arial"/>
                          <w:szCs w:val="20"/>
                        </w:rPr>
                        <w:t>. Some programs may target multiple groups, and therefore, may</w:t>
                      </w:r>
                      <w:r w:rsidRPr="007D4104">
                        <w:rPr>
                          <w:rFonts w:ascii="Arial" w:eastAsia="Times New Roman" w:hAnsi="Arial" w:cs="Arial"/>
                          <w:w w:val="99"/>
                          <w:szCs w:val="20"/>
                        </w:rPr>
                        <w:t xml:space="preserve"> </w:t>
                      </w:r>
                      <w:r w:rsidRPr="007D4104">
                        <w:rPr>
                          <w:rFonts w:ascii="Arial" w:eastAsia="Times New Roman" w:hAnsi="Arial" w:cs="Arial"/>
                          <w:szCs w:val="20"/>
                        </w:rPr>
                        <w:t>have multiple threshold populations and threshold languages; some programs may have no threshold populations</w:t>
                      </w:r>
                    </w:p>
                  </w:txbxContent>
                </v:textbox>
              </v:shape>
            </w:pict>
          </mc:Fallback>
        </mc:AlternateContent>
      </w:r>
    </w:p>
    <w:p w:rsidR="0066400C" w:rsidRDefault="0066400C" w:rsidP="00C33AAA">
      <w:pPr>
        <w:spacing w:after="0"/>
        <w:jc w:val="both"/>
        <w:rPr>
          <w:rFonts w:ascii="Arial" w:hAnsi="Arial" w:cs="Arial"/>
          <w:sz w:val="24"/>
        </w:rPr>
      </w:pPr>
    </w:p>
    <w:p w:rsidR="0066400C" w:rsidRDefault="0066400C" w:rsidP="00C33AAA">
      <w:pPr>
        <w:spacing w:after="0"/>
        <w:jc w:val="both"/>
        <w:rPr>
          <w:rFonts w:ascii="Arial" w:hAnsi="Arial" w:cs="Arial"/>
          <w:sz w:val="24"/>
        </w:rPr>
      </w:pPr>
    </w:p>
    <w:p w:rsidR="0066400C" w:rsidRDefault="0066400C" w:rsidP="00C33AAA">
      <w:pPr>
        <w:spacing w:after="0"/>
        <w:jc w:val="both"/>
        <w:rPr>
          <w:rFonts w:ascii="Arial" w:hAnsi="Arial" w:cs="Arial"/>
          <w:sz w:val="24"/>
        </w:rPr>
      </w:pPr>
    </w:p>
    <w:p w:rsidR="0066400C" w:rsidRDefault="0066400C" w:rsidP="00C33AAA">
      <w:pPr>
        <w:spacing w:after="0"/>
        <w:jc w:val="both"/>
        <w:rPr>
          <w:rFonts w:ascii="Arial" w:hAnsi="Arial" w:cs="Arial"/>
          <w:sz w:val="24"/>
        </w:rPr>
      </w:pPr>
    </w:p>
    <w:p w:rsidR="0066400C" w:rsidRDefault="0066400C" w:rsidP="00C33AAA">
      <w:pPr>
        <w:spacing w:after="0"/>
        <w:jc w:val="both"/>
        <w:rPr>
          <w:rFonts w:ascii="Arial" w:hAnsi="Arial" w:cs="Arial"/>
          <w:sz w:val="24"/>
        </w:rPr>
      </w:pPr>
    </w:p>
    <w:p w:rsidR="0066400C" w:rsidRDefault="0066400C" w:rsidP="00C33AAA">
      <w:pPr>
        <w:spacing w:after="0"/>
        <w:jc w:val="both"/>
        <w:rPr>
          <w:rFonts w:ascii="Arial" w:hAnsi="Arial" w:cs="Arial"/>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66400C" w:rsidTr="008D6BA9">
        <w:tc>
          <w:tcPr>
            <w:tcW w:w="9576" w:type="dxa"/>
            <w:tcBorders>
              <w:top w:val="single" w:sz="12" w:space="0" w:color="17365D" w:themeColor="text2" w:themeShade="BF"/>
              <w:bottom w:val="nil"/>
            </w:tcBorders>
          </w:tcPr>
          <w:p w:rsidR="0066400C" w:rsidRPr="00EF24E6" w:rsidRDefault="0066400C" w:rsidP="00EF24E6">
            <w:pPr>
              <w:pStyle w:val="Heading3"/>
              <w:spacing w:before="0"/>
              <w:outlineLvl w:val="2"/>
              <w:rPr>
                <w:color w:val="FFFFFF" w:themeColor="background1"/>
              </w:rPr>
            </w:pPr>
            <w:bookmarkStart w:id="11" w:name="_Toc489280862"/>
            <w:r w:rsidRPr="00EF24E6">
              <w:rPr>
                <w:sz w:val="28"/>
              </w:rPr>
              <w:t>5.0 Intake and Eligibility</w:t>
            </w:r>
            <w:bookmarkEnd w:id="11"/>
          </w:p>
        </w:tc>
      </w:tr>
    </w:tbl>
    <w:p w:rsidR="00B32A01" w:rsidRDefault="00B32A01" w:rsidP="00B32A01">
      <w:pPr>
        <w:spacing w:after="0" w:line="240" w:lineRule="auto"/>
      </w:pPr>
    </w:p>
    <w:tbl>
      <w:tblPr>
        <w:tblStyle w:val="TableGrid"/>
        <w:tblW w:w="0" w:type="auto"/>
        <w:tblLook w:val="04A0" w:firstRow="1" w:lastRow="0" w:firstColumn="1" w:lastColumn="0" w:noHBand="0" w:noVBand="1"/>
      </w:tblPr>
      <w:tblGrid>
        <w:gridCol w:w="9576"/>
      </w:tblGrid>
      <w:tr w:rsidR="008D6BA9" w:rsidTr="00B26D67">
        <w:trPr>
          <w:trHeight w:val="909"/>
        </w:trPr>
        <w:tc>
          <w:tcPr>
            <w:tcW w:w="9576" w:type="dxa"/>
            <w:tcBorders>
              <w:top w:val="nil"/>
              <w:left w:val="nil"/>
              <w:bottom w:val="nil"/>
              <w:right w:val="nil"/>
            </w:tcBorders>
          </w:tcPr>
          <w:p w:rsidR="008D6BA9" w:rsidRDefault="008D6BA9" w:rsidP="00B32A01">
            <w:pPr>
              <w:rPr>
                <w:rFonts w:eastAsia="Times New Roman" w:cs="Arial"/>
                <w:szCs w:val="24"/>
              </w:rPr>
            </w:pPr>
            <w:r>
              <w:rPr>
                <w:rFonts w:eastAsia="Times New Roman" w:cs="Arial"/>
                <w:szCs w:val="24"/>
              </w:rPr>
              <w:t>T</w:t>
            </w:r>
            <w:r w:rsidRPr="00B94584">
              <w:rPr>
                <w:rFonts w:eastAsia="Times New Roman" w:cs="Arial"/>
                <w:szCs w:val="24"/>
              </w:rPr>
              <w:t>he objective of the standards for the intake and eligibility process is to ensure that all consumers meet the eligibility requirements of the Orlando EMA as well as receive all applicable services.</w:t>
            </w:r>
          </w:p>
          <w:p w:rsidR="008D6BA9" w:rsidRPr="007D4104" w:rsidRDefault="008D6BA9" w:rsidP="001B1B43">
            <w:pPr>
              <w:pStyle w:val="ListParagraph"/>
              <w:numPr>
                <w:ilvl w:val="0"/>
                <w:numId w:val="94"/>
              </w:numPr>
              <w:rPr>
                <w:rFonts w:eastAsia="Times New Roman" w:cs="Arial"/>
                <w:szCs w:val="24"/>
              </w:rPr>
            </w:pPr>
            <w:r w:rsidRPr="007D4104">
              <w:rPr>
                <w:rFonts w:eastAsia="Times New Roman" w:cs="Arial"/>
                <w:szCs w:val="24"/>
              </w:rPr>
              <w:t>Collect HIV status documentation</w:t>
            </w:r>
          </w:p>
          <w:p w:rsidR="008D6BA9" w:rsidRPr="00E74196" w:rsidRDefault="008D6BA9" w:rsidP="001B1B43">
            <w:pPr>
              <w:pStyle w:val="ListParagraph"/>
              <w:numPr>
                <w:ilvl w:val="0"/>
                <w:numId w:val="91"/>
              </w:numPr>
              <w:rPr>
                <w:rFonts w:eastAsia="Times New Roman" w:cs="Arial"/>
                <w:szCs w:val="24"/>
              </w:rPr>
            </w:pPr>
            <w:r w:rsidRPr="00E74196">
              <w:rPr>
                <w:rFonts w:eastAsia="Times New Roman" w:cs="Arial"/>
                <w:szCs w:val="24"/>
              </w:rPr>
              <w:t>Collect income documentation</w:t>
            </w:r>
          </w:p>
          <w:p w:rsidR="008D6BA9" w:rsidRPr="00E74196" w:rsidRDefault="008D6BA9" w:rsidP="001B1B43">
            <w:pPr>
              <w:pStyle w:val="ListParagraph"/>
              <w:numPr>
                <w:ilvl w:val="1"/>
                <w:numId w:val="91"/>
              </w:numPr>
              <w:rPr>
                <w:rFonts w:eastAsia="Times New Roman" w:cs="Arial"/>
                <w:szCs w:val="24"/>
              </w:rPr>
            </w:pPr>
            <w:r w:rsidRPr="00E74196">
              <w:rPr>
                <w:rFonts w:eastAsia="Times New Roman" w:cs="Arial"/>
                <w:szCs w:val="24"/>
              </w:rPr>
              <w:t>Determine the Federal Poverty Level</w:t>
            </w:r>
          </w:p>
          <w:p w:rsidR="008D6BA9" w:rsidRPr="00E74196" w:rsidRDefault="008D6BA9" w:rsidP="001B1B43">
            <w:pPr>
              <w:pStyle w:val="ListParagraph"/>
              <w:numPr>
                <w:ilvl w:val="0"/>
                <w:numId w:val="91"/>
              </w:numPr>
              <w:rPr>
                <w:rFonts w:eastAsia="Times New Roman" w:cs="Arial"/>
                <w:szCs w:val="24"/>
              </w:rPr>
            </w:pPr>
            <w:r w:rsidRPr="00E74196">
              <w:rPr>
                <w:rFonts w:eastAsia="Times New Roman" w:cs="Arial"/>
                <w:szCs w:val="24"/>
              </w:rPr>
              <w:t>Establish residency</w:t>
            </w:r>
          </w:p>
          <w:p w:rsidR="008D6BA9" w:rsidRPr="00E74196" w:rsidRDefault="008D6BA9" w:rsidP="001B1B43">
            <w:pPr>
              <w:pStyle w:val="ListParagraph"/>
              <w:numPr>
                <w:ilvl w:val="0"/>
                <w:numId w:val="91"/>
              </w:numPr>
              <w:rPr>
                <w:rFonts w:eastAsia="Times New Roman" w:cs="Arial"/>
                <w:szCs w:val="24"/>
              </w:rPr>
            </w:pPr>
            <w:r w:rsidRPr="00E74196">
              <w:rPr>
                <w:rFonts w:eastAsia="Times New Roman" w:cs="Arial"/>
                <w:szCs w:val="24"/>
              </w:rPr>
              <w:t>Assess consumer’s immediate needs;</w:t>
            </w:r>
          </w:p>
          <w:p w:rsidR="008D6BA9" w:rsidRPr="00E74196" w:rsidRDefault="008D6BA9" w:rsidP="001B1B43">
            <w:pPr>
              <w:pStyle w:val="ListParagraph"/>
              <w:numPr>
                <w:ilvl w:val="0"/>
                <w:numId w:val="91"/>
              </w:numPr>
              <w:ind w:right="-108"/>
              <w:rPr>
                <w:rFonts w:eastAsia="Times New Roman" w:cs="Arial"/>
                <w:szCs w:val="24"/>
              </w:rPr>
            </w:pPr>
            <w:r w:rsidRPr="00E74196">
              <w:rPr>
                <w:rFonts w:eastAsia="Times New Roman" w:cs="Arial"/>
                <w:szCs w:val="24"/>
              </w:rPr>
              <w:t>Inform the consumer of the services available and what the consumer can expect if s/he were to enroll;</w:t>
            </w:r>
          </w:p>
          <w:p w:rsidR="008D6BA9" w:rsidRPr="00E74196" w:rsidRDefault="008D6BA9" w:rsidP="001B1B43">
            <w:pPr>
              <w:pStyle w:val="ListParagraph"/>
              <w:numPr>
                <w:ilvl w:val="0"/>
                <w:numId w:val="91"/>
              </w:numPr>
              <w:rPr>
                <w:rFonts w:eastAsia="Times New Roman" w:cs="Arial"/>
                <w:szCs w:val="24"/>
              </w:rPr>
            </w:pPr>
            <w:r w:rsidRPr="00E74196">
              <w:rPr>
                <w:rFonts w:eastAsia="Times New Roman" w:cs="Arial"/>
                <w:szCs w:val="24"/>
              </w:rPr>
              <w:t xml:space="preserve">Establish whether the consumer wishes to enroll in a range of services or is </w:t>
            </w:r>
            <w:r w:rsidRPr="00E74196">
              <w:rPr>
                <w:rFonts w:eastAsia="Times New Roman" w:cs="Arial"/>
                <w:szCs w:val="24"/>
              </w:rPr>
              <w:lastRenderedPageBreak/>
              <w:t>interested only in a specific service offered by the provider agency;</w:t>
            </w:r>
          </w:p>
          <w:p w:rsidR="008D6BA9" w:rsidRPr="00E74196" w:rsidRDefault="008D6BA9" w:rsidP="001B1B43">
            <w:pPr>
              <w:pStyle w:val="ListParagraph"/>
              <w:numPr>
                <w:ilvl w:val="0"/>
                <w:numId w:val="91"/>
              </w:numPr>
              <w:rPr>
                <w:rFonts w:eastAsia="Times New Roman" w:cs="Arial"/>
                <w:szCs w:val="24"/>
              </w:rPr>
            </w:pPr>
            <w:r w:rsidRPr="00E74196">
              <w:rPr>
                <w:rFonts w:eastAsia="Times New Roman" w:cs="Arial"/>
                <w:szCs w:val="24"/>
              </w:rPr>
              <w:t>Explain the EMA and agency policies and procedures;</w:t>
            </w:r>
          </w:p>
          <w:p w:rsidR="008D6BA9" w:rsidRPr="00E74196" w:rsidRDefault="008D6BA9" w:rsidP="001B1B43">
            <w:pPr>
              <w:pStyle w:val="ListParagraph"/>
              <w:numPr>
                <w:ilvl w:val="0"/>
                <w:numId w:val="91"/>
              </w:numPr>
              <w:rPr>
                <w:rFonts w:eastAsia="Times New Roman" w:cs="Arial"/>
                <w:szCs w:val="24"/>
              </w:rPr>
            </w:pPr>
            <w:r w:rsidRPr="00E74196">
              <w:rPr>
                <w:rFonts w:eastAsia="Times New Roman" w:cs="Arial"/>
                <w:szCs w:val="24"/>
              </w:rPr>
              <w:t>Collect required consumer data for reporting purposes;</w:t>
            </w:r>
          </w:p>
          <w:p w:rsidR="008D6BA9" w:rsidRPr="00E74196" w:rsidRDefault="008D6BA9" w:rsidP="001B1B43">
            <w:pPr>
              <w:pStyle w:val="ListParagraph"/>
              <w:numPr>
                <w:ilvl w:val="0"/>
                <w:numId w:val="91"/>
              </w:numPr>
              <w:rPr>
                <w:rFonts w:eastAsia="Times New Roman" w:cs="Arial"/>
                <w:szCs w:val="24"/>
              </w:rPr>
            </w:pPr>
            <w:r w:rsidRPr="00E74196">
              <w:rPr>
                <w:rFonts w:eastAsia="Times New Roman" w:cs="Arial"/>
                <w:szCs w:val="24"/>
              </w:rPr>
              <w:t xml:space="preserve">Collect basic consumer information to facilitate consumer identification and consumer follow up; and </w:t>
            </w:r>
          </w:p>
          <w:p w:rsidR="008D6BA9" w:rsidRDefault="008D6BA9" w:rsidP="001B1B43">
            <w:pPr>
              <w:pStyle w:val="ListParagraph"/>
              <w:numPr>
                <w:ilvl w:val="0"/>
                <w:numId w:val="91"/>
              </w:numPr>
              <w:spacing w:before="240"/>
              <w:rPr>
                <w:rFonts w:eastAsia="Times New Roman" w:cs="Arial"/>
                <w:szCs w:val="24"/>
              </w:rPr>
            </w:pPr>
            <w:r w:rsidRPr="007D4104">
              <w:rPr>
                <w:rFonts w:eastAsia="Times New Roman" w:cs="Arial"/>
                <w:szCs w:val="24"/>
              </w:rPr>
              <w:t>Begin to establish a trusting consumer relationship.</w:t>
            </w:r>
          </w:p>
          <w:p w:rsidR="008D6BA9" w:rsidRPr="007D4104" w:rsidRDefault="008D6BA9" w:rsidP="00B32A01">
            <w:pPr>
              <w:spacing w:before="240"/>
              <w:rPr>
                <w:rFonts w:eastAsia="Times New Roman" w:cs="Arial"/>
                <w:szCs w:val="24"/>
              </w:rPr>
            </w:pPr>
            <w:r w:rsidRPr="007D4104">
              <w:rPr>
                <w:rFonts w:eastAsia="Times New Roman" w:cs="Arial"/>
                <w:szCs w:val="24"/>
              </w:rPr>
              <w:t xml:space="preserve">All consumers who request or are referred to HIV services will participate in the intake process. Intake is conducted by a non-medical case manager, medical case manager, or Early Intervention Coordinator; the case manager/ Early Intervention Coordinator will review the consumers income eligibility, consumer rights and responsibilities, explain the program and services to the consumer, explain the EMA and agency confidentiality and grievance policies to the consumer, assess the consumer’s immediate service needs, and secure permission from the consumer to release information. </w:t>
            </w:r>
          </w:p>
          <w:p w:rsidR="008D6BA9" w:rsidRDefault="008D6BA9" w:rsidP="008D6BA9">
            <w:pPr>
              <w:spacing w:before="240"/>
              <w:rPr>
                <w:rFonts w:eastAsia="Times New Roman" w:cs="Arial"/>
                <w:color w:val="000000"/>
                <w:szCs w:val="24"/>
              </w:rPr>
            </w:pPr>
            <w:r w:rsidRPr="00B94584">
              <w:rPr>
                <w:rFonts w:eastAsia="Times New Roman" w:cs="Arial"/>
                <w:color w:val="000000"/>
                <w:szCs w:val="24"/>
              </w:rPr>
              <w:t xml:space="preserve">To maintain eligibility for Ryan White services, consumers must be recertified at least every six months. The primary purposes of the recertification process are to ensure that an individual’s residency, income, and insurance statuses continue to meet the eligibility requirements and to verify that Ryan White is the payer of last resort. At least once a year, the recertification procedures must include the collection of more in-depth supporting documentation, similar to that collected at the initial eligibility determination. </w:t>
            </w:r>
          </w:p>
          <w:p w:rsidR="008D6BA9" w:rsidRPr="00B94584" w:rsidRDefault="008D6BA9" w:rsidP="008D6BA9">
            <w:pPr>
              <w:spacing w:before="240"/>
              <w:rPr>
                <w:rFonts w:cs="Arial"/>
                <w:color w:val="000000"/>
                <w:szCs w:val="24"/>
              </w:rPr>
            </w:pPr>
            <w:r w:rsidRPr="00B94584">
              <w:rPr>
                <w:rFonts w:cs="Arial"/>
                <w:color w:val="000000"/>
                <w:szCs w:val="24"/>
              </w:rPr>
              <w:t xml:space="preserve">At one of the two required recertification’s during a year, a consumer’s self-attestation that their income, residency, and/or insurance status has not changed is allowed. Self-attestation that there has been a change in income, residency or insurance status requires appropriate documentation of the change, the documentation maybe collected at the consumer’s next visit to the provider. </w:t>
            </w:r>
          </w:p>
          <w:p w:rsidR="008D6BA9" w:rsidRDefault="008D6BA9" w:rsidP="008D6BA9">
            <w:pPr>
              <w:spacing w:before="240"/>
              <w:rPr>
                <w:rFonts w:eastAsia="Times New Roman" w:cs="Arial"/>
                <w:szCs w:val="24"/>
              </w:rPr>
            </w:pPr>
            <w:r w:rsidRPr="00B94584">
              <w:rPr>
                <w:rFonts w:eastAsia="Times New Roman" w:cs="Arial"/>
                <w:szCs w:val="24"/>
              </w:rPr>
              <w:t>Eligibility is considered complete if the following have been accomplished: (1) the consumer’s HIV positive status has been verified and documented; (2) the consumer’s documented  income is less than or equal to 400% of the FPL (3) the information below (at a minimum) has been obtained from the consumer:</w:t>
            </w:r>
          </w:p>
          <w:p w:rsidR="008D6BA9" w:rsidRPr="00B94584" w:rsidRDefault="008D6BA9" w:rsidP="001B1B43">
            <w:pPr>
              <w:numPr>
                <w:ilvl w:val="0"/>
                <w:numId w:val="21"/>
              </w:numPr>
              <w:rPr>
                <w:rFonts w:eastAsia="Times New Roman" w:cs="Arial"/>
                <w:szCs w:val="24"/>
              </w:rPr>
            </w:pPr>
            <w:r w:rsidRPr="00B94584">
              <w:rPr>
                <w:rFonts w:eastAsia="Times New Roman" w:cs="Arial"/>
                <w:szCs w:val="24"/>
              </w:rPr>
              <w:t>Proof of HIV status</w:t>
            </w:r>
          </w:p>
          <w:p w:rsidR="008D6BA9" w:rsidRPr="00B94584" w:rsidRDefault="008D6BA9" w:rsidP="001B1B43">
            <w:pPr>
              <w:numPr>
                <w:ilvl w:val="0"/>
                <w:numId w:val="20"/>
              </w:numPr>
              <w:rPr>
                <w:rFonts w:eastAsia="Times New Roman" w:cs="Arial"/>
                <w:szCs w:val="24"/>
              </w:rPr>
            </w:pPr>
            <w:r w:rsidRPr="00B94584">
              <w:rPr>
                <w:rFonts w:eastAsia="Times New Roman" w:cs="Arial"/>
                <w:szCs w:val="24"/>
              </w:rPr>
              <w:t>Name, address, social security number, phone, and email (if available,);</w:t>
            </w:r>
          </w:p>
          <w:p w:rsidR="008D6BA9" w:rsidRPr="00B94584" w:rsidRDefault="008D6BA9" w:rsidP="001B1B43">
            <w:pPr>
              <w:numPr>
                <w:ilvl w:val="0"/>
                <w:numId w:val="19"/>
              </w:numPr>
              <w:rPr>
                <w:rFonts w:eastAsia="Times New Roman" w:cs="Arial"/>
                <w:szCs w:val="24"/>
              </w:rPr>
            </w:pPr>
            <w:r w:rsidRPr="00B94584">
              <w:rPr>
                <w:rFonts w:eastAsia="Times New Roman" w:cs="Arial"/>
                <w:szCs w:val="24"/>
              </w:rPr>
              <w:t xml:space="preserve">ID, Proof of Income, Insurance verification, </w:t>
            </w:r>
          </w:p>
          <w:p w:rsidR="008D6BA9" w:rsidRPr="002D660C" w:rsidRDefault="008D6BA9" w:rsidP="001B1B43">
            <w:pPr>
              <w:numPr>
                <w:ilvl w:val="0"/>
                <w:numId w:val="19"/>
              </w:numPr>
              <w:rPr>
                <w:rFonts w:eastAsia="Times New Roman" w:cs="Arial"/>
                <w:szCs w:val="24"/>
              </w:rPr>
            </w:pPr>
            <w:r w:rsidRPr="002D660C">
              <w:rPr>
                <w:rFonts w:eastAsia="Times New Roman" w:cs="Arial"/>
                <w:szCs w:val="24"/>
              </w:rPr>
              <w:t>Residency – consumers must reside within the boundaries of the EMA (Orange, Lake Seminole, and Osceola).</w:t>
            </w:r>
          </w:p>
          <w:p w:rsidR="008D6BA9" w:rsidRPr="002D660C" w:rsidRDefault="008D6BA9" w:rsidP="001B1B43">
            <w:pPr>
              <w:numPr>
                <w:ilvl w:val="0"/>
                <w:numId w:val="19"/>
              </w:numPr>
              <w:rPr>
                <w:rFonts w:eastAsia="Times New Roman" w:cs="Arial"/>
                <w:szCs w:val="24"/>
              </w:rPr>
            </w:pPr>
            <w:r w:rsidRPr="002D660C">
              <w:rPr>
                <w:rFonts w:eastAsia="Times New Roman" w:cs="Arial"/>
                <w:szCs w:val="24"/>
              </w:rPr>
              <w:t>Determination of eligibility and enrollment in other 3rd party Insurance Program including Medicaid and Medicare.</w:t>
            </w:r>
          </w:p>
          <w:p w:rsidR="008D6BA9" w:rsidRPr="002D660C" w:rsidRDefault="008D6BA9" w:rsidP="001B1B43">
            <w:pPr>
              <w:numPr>
                <w:ilvl w:val="0"/>
                <w:numId w:val="19"/>
              </w:numPr>
              <w:rPr>
                <w:rFonts w:eastAsia="Times New Roman" w:cs="Arial"/>
                <w:szCs w:val="24"/>
              </w:rPr>
            </w:pPr>
            <w:r w:rsidRPr="002D660C">
              <w:rPr>
                <w:rFonts w:eastAsia="Times New Roman" w:cs="Arial"/>
                <w:szCs w:val="24"/>
              </w:rPr>
              <w:t>Preferred method of communication (e.g., phone, email, or mail);</w:t>
            </w:r>
          </w:p>
          <w:p w:rsidR="008D6BA9" w:rsidRPr="002D660C" w:rsidRDefault="008D6BA9" w:rsidP="001B1B43">
            <w:pPr>
              <w:numPr>
                <w:ilvl w:val="0"/>
                <w:numId w:val="19"/>
              </w:numPr>
              <w:rPr>
                <w:rFonts w:eastAsia="Times New Roman" w:cs="Arial"/>
                <w:szCs w:val="24"/>
              </w:rPr>
            </w:pPr>
            <w:r w:rsidRPr="002D660C">
              <w:rPr>
                <w:rFonts w:eastAsia="Times New Roman" w:cs="Arial"/>
                <w:szCs w:val="24"/>
              </w:rPr>
              <w:t>Emergency contact information.</w:t>
            </w:r>
          </w:p>
          <w:p w:rsidR="008D6BA9" w:rsidRPr="002D660C" w:rsidRDefault="008D6BA9" w:rsidP="001B1B43">
            <w:pPr>
              <w:numPr>
                <w:ilvl w:val="0"/>
                <w:numId w:val="19"/>
              </w:numPr>
              <w:rPr>
                <w:rFonts w:eastAsia="Times New Roman" w:cs="Arial"/>
                <w:szCs w:val="24"/>
              </w:rPr>
            </w:pPr>
            <w:r w:rsidRPr="002D660C">
              <w:rPr>
                <w:rFonts w:eastAsia="Times New Roman" w:cs="Arial"/>
                <w:szCs w:val="24"/>
              </w:rPr>
              <w:t>Preferred language of communication.</w:t>
            </w:r>
          </w:p>
          <w:p w:rsidR="008D6BA9" w:rsidRPr="002D660C" w:rsidRDefault="008D6BA9" w:rsidP="001B1B43">
            <w:pPr>
              <w:numPr>
                <w:ilvl w:val="0"/>
                <w:numId w:val="19"/>
              </w:numPr>
              <w:rPr>
                <w:rFonts w:eastAsia="Times New Roman" w:cs="Arial"/>
                <w:szCs w:val="24"/>
              </w:rPr>
            </w:pPr>
            <w:r w:rsidRPr="002D660C">
              <w:rPr>
                <w:rFonts w:eastAsia="Times New Roman" w:cs="Arial"/>
                <w:szCs w:val="24"/>
              </w:rPr>
              <w:t>Enrollment in other HIV/AIDS services including case management and other HIV/AIDS or social services</w:t>
            </w:r>
          </w:p>
          <w:p w:rsidR="008D6BA9" w:rsidRPr="002D660C" w:rsidRDefault="008D6BA9" w:rsidP="001B1B43">
            <w:pPr>
              <w:numPr>
                <w:ilvl w:val="0"/>
                <w:numId w:val="19"/>
              </w:numPr>
              <w:rPr>
                <w:rFonts w:eastAsia="Times New Roman" w:cs="Arial"/>
                <w:szCs w:val="24"/>
              </w:rPr>
            </w:pPr>
            <w:r w:rsidRPr="002D660C">
              <w:rPr>
                <w:rFonts w:eastAsia="Times New Roman" w:cs="Arial"/>
                <w:szCs w:val="24"/>
              </w:rPr>
              <w:t>Primary reasons and need for seeking services at agency</w:t>
            </w:r>
          </w:p>
          <w:p w:rsidR="008D6BA9" w:rsidRPr="002D660C" w:rsidRDefault="008D6BA9" w:rsidP="001B1B43">
            <w:pPr>
              <w:numPr>
                <w:ilvl w:val="0"/>
                <w:numId w:val="19"/>
              </w:numPr>
              <w:rPr>
                <w:rFonts w:eastAsia="Times New Roman" w:cs="Arial"/>
                <w:szCs w:val="24"/>
              </w:rPr>
            </w:pPr>
            <w:r w:rsidRPr="002D660C">
              <w:rPr>
                <w:rFonts w:eastAsia="Times New Roman" w:cs="Arial"/>
                <w:szCs w:val="24"/>
              </w:rPr>
              <w:t>Care Plan.</w:t>
            </w:r>
          </w:p>
          <w:p w:rsidR="00B32A01" w:rsidRDefault="00B32A01" w:rsidP="00B26D67">
            <w:pPr>
              <w:rPr>
                <w:rFonts w:eastAsia="Times New Roman" w:cs="Arial"/>
                <w:szCs w:val="24"/>
              </w:rPr>
            </w:pPr>
          </w:p>
          <w:p w:rsidR="008D6BA9" w:rsidRDefault="008D6BA9" w:rsidP="00B26D67">
            <w:pPr>
              <w:rPr>
                <w:rFonts w:eastAsia="Times New Roman" w:cs="Arial"/>
                <w:szCs w:val="24"/>
              </w:rPr>
            </w:pPr>
            <w:r w:rsidRPr="002D660C">
              <w:rPr>
                <w:rFonts w:eastAsia="Times New Roman" w:cs="Arial"/>
                <w:szCs w:val="24"/>
              </w:rPr>
              <w:lastRenderedPageBreak/>
              <w:t>A consumer who chooses to enroll in services and who is eligible will be assigned a case manager who is responsible for making contact with the consumer to set up a time for a more thorough assessment, if necessary, to determine appropriate services. Referrals for other appropriate services will be made if ineligible for Ryan White Part A services. The intake process will begin within a minimum of 48 hours of the first consumer contact with the agency. Ideally, the consumer intake process should be completed as quickly as possible; however, recognizing that consumers may not have on hand the required documentation (e.g., documentation of HIV status), the intake process should be completed within  30 working days of beginning intake.</w:t>
            </w:r>
          </w:p>
        </w:tc>
      </w:tr>
    </w:tbl>
    <w:p w:rsidR="00B26D67" w:rsidRDefault="00B26D67" w:rsidP="00B26D6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140"/>
        <w:gridCol w:w="720"/>
        <w:gridCol w:w="4050"/>
      </w:tblGrid>
      <w:tr w:rsidR="003B3574" w:rsidTr="008D6BA9">
        <w:tc>
          <w:tcPr>
            <w:tcW w:w="9558" w:type="dxa"/>
            <w:gridSpan w:val="4"/>
            <w:shd w:val="clear" w:color="auto" w:fill="17365D" w:themeFill="text2" w:themeFillShade="BF"/>
          </w:tcPr>
          <w:p w:rsidR="003B3574" w:rsidRPr="001F30B2" w:rsidRDefault="003B3574" w:rsidP="00EF24E6">
            <w:pPr>
              <w:pStyle w:val="Heading4"/>
              <w:spacing w:before="0"/>
              <w:outlineLvl w:val="3"/>
              <w:rPr>
                <w:bCs/>
              </w:rPr>
            </w:pPr>
            <w:bookmarkStart w:id="12" w:name="_Toc487439024"/>
            <w:r w:rsidRPr="00EF24E6">
              <w:rPr>
                <w:bCs/>
                <w:color w:val="FFFFFF" w:themeColor="background1"/>
                <w:sz w:val="28"/>
              </w:rPr>
              <w:t>5.0 Intake and Eligibility</w:t>
            </w:r>
            <w:bookmarkEnd w:id="12"/>
          </w:p>
        </w:tc>
      </w:tr>
      <w:tr w:rsidR="00EF24E6" w:rsidTr="008D6BA9">
        <w:tc>
          <w:tcPr>
            <w:tcW w:w="4788" w:type="dxa"/>
            <w:gridSpan w:val="2"/>
            <w:vAlign w:val="center"/>
          </w:tcPr>
          <w:p w:rsidR="00EF24E6" w:rsidRPr="00B94584" w:rsidRDefault="00EF24E6" w:rsidP="003B3574">
            <w:pPr>
              <w:jc w:val="center"/>
              <w:rPr>
                <w:b/>
                <w:bCs w:val="0"/>
                <w:sz w:val="28"/>
              </w:rPr>
            </w:pPr>
          </w:p>
        </w:tc>
        <w:tc>
          <w:tcPr>
            <w:tcW w:w="4770" w:type="dxa"/>
            <w:gridSpan w:val="2"/>
            <w:vAlign w:val="center"/>
          </w:tcPr>
          <w:p w:rsidR="00EF24E6" w:rsidRPr="00B94584" w:rsidRDefault="00EF24E6" w:rsidP="003B3574">
            <w:pPr>
              <w:jc w:val="center"/>
              <w:rPr>
                <w:b/>
                <w:bCs w:val="0"/>
                <w:sz w:val="28"/>
              </w:rPr>
            </w:pPr>
          </w:p>
        </w:tc>
      </w:tr>
      <w:tr w:rsidR="003B3574" w:rsidTr="008D6BA9">
        <w:tc>
          <w:tcPr>
            <w:tcW w:w="4788" w:type="dxa"/>
            <w:gridSpan w:val="2"/>
            <w:tcBorders>
              <w:bottom w:val="single" w:sz="12" w:space="0" w:color="17365D" w:themeColor="text2" w:themeShade="BF"/>
              <w:right w:val="single" w:sz="12" w:space="0" w:color="17365D" w:themeColor="text2" w:themeShade="BF"/>
            </w:tcBorders>
            <w:vAlign w:val="center"/>
          </w:tcPr>
          <w:p w:rsidR="003B3574" w:rsidRPr="007D4104" w:rsidRDefault="003B3574" w:rsidP="003B3574">
            <w:pPr>
              <w:jc w:val="center"/>
              <w:rPr>
                <w:rStyle w:val="BookTitle"/>
              </w:rPr>
            </w:pPr>
            <w:r w:rsidRPr="007D4104">
              <w:rPr>
                <w:rStyle w:val="BookTitle"/>
              </w:rPr>
              <w:t>Standards</w:t>
            </w:r>
          </w:p>
        </w:tc>
        <w:tc>
          <w:tcPr>
            <w:tcW w:w="4770" w:type="dxa"/>
            <w:gridSpan w:val="2"/>
            <w:tcBorders>
              <w:left w:val="single" w:sz="12" w:space="0" w:color="17365D" w:themeColor="text2" w:themeShade="BF"/>
              <w:bottom w:val="single" w:sz="12" w:space="0" w:color="17365D" w:themeColor="text2" w:themeShade="BF"/>
            </w:tcBorders>
            <w:vAlign w:val="center"/>
          </w:tcPr>
          <w:p w:rsidR="003B3574" w:rsidRPr="007D4104" w:rsidRDefault="003B3574" w:rsidP="003B3574">
            <w:pPr>
              <w:jc w:val="center"/>
              <w:rPr>
                <w:rStyle w:val="BookTitle"/>
              </w:rPr>
            </w:pPr>
            <w:r w:rsidRPr="007D4104">
              <w:rPr>
                <w:rStyle w:val="BookTitle"/>
              </w:rPr>
              <w:t>Measures</w:t>
            </w:r>
          </w:p>
        </w:tc>
      </w:tr>
      <w:tr w:rsidR="003B3574" w:rsidTr="008D6BA9">
        <w:trPr>
          <w:trHeight w:val="1296"/>
        </w:trPr>
        <w:tc>
          <w:tcPr>
            <w:tcW w:w="648" w:type="dxa"/>
            <w:tcBorders>
              <w:top w:val="single" w:sz="12" w:space="0" w:color="17365D" w:themeColor="text2" w:themeShade="BF"/>
              <w:bottom w:val="single" w:sz="12" w:space="0" w:color="17365D" w:themeColor="text2" w:themeShade="BF"/>
            </w:tcBorders>
          </w:tcPr>
          <w:p w:rsidR="003B3574" w:rsidRPr="00E74196" w:rsidRDefault="003B3574" w:rsidP="007D4104">
            <w:pPr>
              <w:rPr>
                <w:bCs w:val="0"/>
                <w:szCs w:val="24"/>
              </w:rPr>
            </w:pPr>
            <w:r w:rsidRPr="00E74196">
              <w:rPr>
                <w:bCs w:val="0"/>
                <w:szCs w:val="24"/>
              </w:rPr>
              <w:t>5.1</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3B3574" w:rsidRPr="00E74196" w:rsidRDefault="000C316D" w:rsidP="007D4104">
            <w:pPr>
              <w:rPr>
                <w:rFonts w:cs="Arial"/>
                <w:szCs w:val="24"/>
              </w:rPr>
            </w:pPr>
            <w:r w:rsidRPr="00E74196">
              <w:rPr>
                <w:rFonts w:cs="Arial"/>
                <w:szCs w:val="24"/>
              </w:rPr>
              <w:t>Intake process is completed within 30 working days of initial contact with consumer and documents consumer’s contact information (including his/her emergency contact’s name and phone number) and assesses his/her immediate service needs and connection to primary care and other services.</w:t>
            </w:r>
          </w:p>
          <w:p w:rsidR="000D1F19" w:rsidRPr="00E74196" w:rsidRDefault="000D1F19" w:rsidP="007D4104">
            <w:pPr>
              <w:rPr>
                <w:bCs w:val="0"/>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3B3574" w:rsidRPr="00E74196" w:rsidRDefault="003B3574" w:rsidP="007D4104">
            <w:pPr>
              <w:rPr>
                <w:bCs w:val="0"/>
                <w:szCs w:val="24"/>
              </w:rPr>
            </w:pPr>
            <w:r w:rsidRPr="00E74196">
              <w:rPr>
                <w:bCs w:val="0"/>
                <w:szCs w:val="24"/>
              </w:rPr>
              <w:t>5.1</w:t>
            </w:r>
          </w:p>
        </w:tc>
        <w:tc>
          <w:tcPr>
            <w:tcW w:w="4050" w:type="dxa"/>
            <w:tcBorders>
              <w:top w:val="single" w:sz="12" w:space="0" w:color="17365D" w:themeColor="text2" w:themeShade="BF"/>
              <w:bottom w:val="single" w:sz="12" w:space="0" w:color="17365D" w:themeColor="text2" w:themeShade="BF"/>
            </w:tcBorders>
          </w:tcPr>
          <w:p w:rsidR="003B3574" w:rsidRPr="00E74196" w:rsidRDefault="000C316D" w:rsidP="007D4104">
            <w:pPr>
              <w:rPr>
                <w:bCs w:val="0"/>
                <w:szCs w:val="24"/>
              </w:rPr>
            </w:pPr>
            <w:r w:rsidRPr="00E74196">
              <w:rPr>
                <w:rFonts w:cs="Arial"/>
                <w:szCs w:val="24"/>
              </w:rPr>
              <w:t>Completed intake, dated no more than 30 days after initial contact, in consumer’s file.</w:t>
            </w:r>
          </w:p>
        </w:tc>
      </w:tr>
      <w:tr w:rsidR="003B3574" w:rsidTr="008D6BA9">
        <w:tc>
          <w:tcPr>
            <w:tcW w:w="648" w:type="dxa"/>
            <w:tcBorders>
              <w:top w:val="single" w:sz="12" w:space="0" w:color="17365D" w:themeColor="text2" w:themeShade="BF"/>
              <w:bottom w:val="single" w:sz="12" w:space="0" w:color="17365D" w:themeColor="text2" w:themeShade="BF"/>
            </w:tcBorders>
          </w:tcPr>
          <w:p w:rsidR="003B3574" w:rsidRPr="00E74196" w:rsidRDefault="003B3574" w:rsidP="007D4104">
            <w:pPr>
              <w:rPr>
                <w:bCs w:val="0"/>
                <w:szCs w:val="24"/>
              </w:rPr>
            </w:pPr>
            <w:r w:rsidRPr="00E74196">
              <w:rPr>
                <w:bCs w:val="0"/>
                <w:szCs w:val="24"/>
              </w:rPr>
              <w:t>5.2</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3B3574" w:rsidRPr="00E74196" w:rsidRDefault="003B3574" w:rsidP="007D4104">
            <w:pPr>
              <w:rPr>
                <w:bCs w:val="0"/>
                <w:szCs w:val="24"/>
              </w:rPr>
            </w:pPr>
            <w:r w:rsidRPr="00E74196">
              <w:rPr>
                <w:bCs w:val="0"/>
                <w:szCs w:val="24"/>
              </w:rPr>
              <w:t>For providers of services other than case management, consumer is asked about connection to case management. If consumer is not connected to case management, provider facilitates a supported referral to case management services.</w:t>
            </w:r>
          </w:p>
          <w:p w:rsidR="00DE4D08" w:rsidRPr="00E74196" w:rsidRDefault="00DE4D08" w:rsidP="007D4104">
            <w:pPr>
              <w:rPr>
                <w:bCs w:val="0"/>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3B3574" w:rsidRPr="00E74196" w:rsidRDefault="003B3574" w:rsidP="007D4104">
            <w:pPr>
              <w:rPr>
                <w:bCs w:val="0"/>
                <w:szCs w:val="24"/>
              </w:rPr>
            </w:pPr>
            <w:r w:rsidRPr="00E74196">
              <w:rPr>
                <w:bCs w:val="0"/>
                <w:szCs w:val="24"/>
              </w:rPr>
              <w:t>5.2</w:t>
            </w:r>
          </w:p>
        </w:tc>
        <w:tc>
          <w:tcPr>
            <w:tcW w:w="4050" w:type="dxa"/>
            <w:tcBorders>
              <w:top w:val="single" w:sz="12" w:space="0" w:color="17365D" w:themeColor="text2" w:themeShade="BF"/>
              <w:bottom w:val="single" w:sz="12" w:space="0" w:color="17365D" w:themeColor="text2" w:themeShade="BF"/>
            </w:tcBorders>
          </w:tcPr>
          <w:p w:rsidR="003B3574" w:rsidRPr="00E74196" w:rsidRDefault="004452F5" w:rsidP="007D4104">
            <w:pPr>
              <w:rPr>
                <w:bCs w:val="0"/>
                <w:szCs w:val="24"/>
              </w:rPr>
            </w:pPr>
            <w:r w:rsidRPr="00E74196">
              <w:rPr>
                <w:bCs w:val="0"/>
                <w:szCs w:val="24"/>
              </w:rPr>
              <w:t>Documentation in consumer’s file.</w:t>
            </w:r>
          </w:p>
        </w:tc>
      </w:tr>
      <w:tr w:rsidR="003B3574" w:rsidTr="00B32A01">
        <w:trPr>
          <w:trHeight w:val="978"/>
        </w:trPr>
        <w:tc>
          <w:tcPr>
            <w:tcW w:w="648" w:type="dxa"/>
            <w:tcBorders>
              <w:top w:val="single" w:sz="12" w:space="0" w:color="17365D" w:themeColor="text2" w:themeShade="BF"/>
              <w:bottom w:val="single" w:sz="12" w:space="0" w:color="17365D" w:themeColor="text2" w:themeShade="BF"/>
            </w:tcBorders>
          </w:tcPr>
          <w:p w:rsidR="003B3574" w:rsidRPr="00E74196" w:rsidRDefault="004452F5" w:rsidP="007D4104">
            <w:pPr>
              <w:rPr>
                <w:bCs w:val="0"/>
                <w:szCs w:val="24"/>
              </w:rPr>
            </w:pPr>
            <w:r w:rsidRPr="00E74196">
              <w:rPr>
                <w:bCs w:val="0"/>
                <w:szCs w:val="24"/>
              </w:rPr>
              <w:t>5.3</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3B3574" w:rsidRPr="00E74196" w:rsidRDefault="000C316D" w:rsidP="007D4104">
            <w:pPr>
              <w:rPr>
                <w:rFonts w:cs="Arial"/>
                <w:szCs w:val="24"/>
              </w:rPr>
            </w:pPr>
            <w:r w:rsidRPr="00E74196">
              <w:rPr>
                <w:rFonts w:cs="Arial"/>
                <w:szCs w:val="24"/>
              </w:rPr>
              <w:t>To determine presumptive eligibility for services, consumers reactive test result shall be documented</w:t>
            </w:r>
            <w:r w:rsidR="00DE4D08" w:rsidRPr="00E74196">
              <w:rPr>
                <w:rFonts w:cs="Arial"/>
                <w:szCs w:val="24"/>
              </w:rPr>
              <w:t>.</w:t>
            </w:r>
          </w:p>
          <w:p w:rsidR="00DE4D08" w:rsidRPr="00E74196" w:rsidRDefault="00DE4D08" w:rsidP="007D4104">
            <w:pPr>
              <w:rPr>
                <w:bCs w:val="0"/>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3B3574" w:rsidRPr="00E74196" w:rsidRDefault="004452F5" w:rsidP="007D4104">
            <w:pPr>
              <w:rPr>
                <w:bCs w:val="0"/>
                <w:szCs w:val="24"/>
              </w:rPr>
            </w:pPr>
            <w:r w:rsidRPr="00E74196">
              <w:rPr>
                <w:bCs w:val="0"/>
                <w:szCs w:val="24"/>
              </w:rPr>
              <w:t>5.3</w:t>
            </w:r>
          </w:p>
        </w:tc>
        <w:tc>
          <w:tcPr>
            <w:tcW w:w="4050" w:type="dxa"/>
            <w:tcBorders>
              <w:top w:val="single" w:sz="12" w:space="0" w:color="17365D" w:themeColor="text2" w:themeShade="BF"/>
              <w:bottom w:val="single" w:sz="12" w:space="0" w:color="17365D" w:themeColor="text2" w:themeShade="BF"/>
            </w:tcBorders>
          </w:tcPr>
          <w:p w:rsidR="000C316D" w:rsidRPr="00E74196" w:rsidRDefault="000C316D" w:rsidP="007D4104">
            <w:pPr>
              <w:rPr>
                <w:szCs w:val="24"/>
              </w:rPr>
            </w:pPr>
            <w:r w:rsidRPr="00E74196">
              <w:rPr>
                <w:szCs w:val="24"/>
              </w:rPr>
              <w:t>Reactive test result uploaded in PE.</w:t>
            </w:r>
          </w:p>
          <w:p w:rsidR="004452F5" w:rsidRPr="00E74196" w:rsidRDefault="004452F5" w:rsidP="007D4104">
            <w:pPr>
              <w:pStyle w:val="ListParagraph"/>
              <w:ind w:left="360"/>
              <w:rPr>
                <w:szCs w:val="24"/>
              </w:rPr>
            </w:pPr>
          </w:p>
          <w:p w:rsidR="00F9073E" w:rsidRPr="00E74196" w:rsidRDefault="00F9073E" w:rsidP="007D4104">
            <w:pPr>
              <w:pStyle w:val="ListParagraph"/>
              <w:ind w:left="360"/>
              <w:rPr>
                <w:szCs w:val="24"/>
              </w:rPr>
            </w:pPr>
          </w:p>
        </w:tc>
      </w:tr>
      <w:tr w:rsidR="00B32A01" w:rsidTr="00B32A01">
        <w:trPr>
          <w:trHeight w:val="978"/>
        </w:trPr>
        <w:tc>
          <w:tcPr>
            <w:tcW w:w="648" w:type="dxa"/>
            <w:tcBorders>
              <w:top w:val="single" w:sz="12" w:space="0" w:color="17365D" w:themeColor="text2" w:themeShade="BF"/>
              <w:bottom w:val="single" w:sz="12" w:space="0" w:color="17365D" w:themeColor="text2" w:themeShade="BF"/>
            </w:tcBorders>
          </w:tcPr>
          <w:p w:rsidR="00B32A01" w:rsidRPr="00E74196" w:rsidRDefault="00B32A01" w:rsidP="0016057D">
            <w:pPr>
              <w:rPr>
                <w:bCs w:val="0"/>
                <w:szCs w:val="24"/>
              </w:rPr>
            </w:pPr>
            <w:r>
              <w:rPr>
                <w:bCs w:val="0"/>
                <w:szCs w:val="24"/>
              </w:rPr>
              <w:t>5</w:t>
            </w:r>
            <w:r w:rsidRPr="00E74196">
              <w:rPr>
                <w:bCs w:val="0"/>
                <w:szCs w:val="24"/>
              </w:rPr>
              <w:t>.4</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B32A01" w:rsidRPr="00E74196" w:rsidRDefault="00B32A01" w:rsidP="0016057D">
            <w:pPr>
              <w:rPr>
                <w:rFonts w:eastAsia="Times New Roman" w:cs="Arial"/>
                <w:szCs w:val="24"/>
              </w:rPr>
            </w:pPr>
            <w:r w:rsidRPr="00E74196">
              <w:rPr>
                <w:rFonts w:eastAsia="Times New Roman" w:cs="Arial"/>
                <w:szCs w:val="24"/>
              </w:rPr>
              <w:t>To determine minimum eligibility for services, consumer’s HIV</w:t>
            </w:r>
            <w:r w:rsidRPr="00E74196">
              <w:rPr>
                <w:rFonts w:ascii="Cambria Math" w:eastAsia="Times New Roman" w:hAnsi="Cambria Math" w:cs="Cambria Math"/>
                <w:szCs w:val="24"/>
              </w:rPr>
              <w:t>‐</w:t>
            </w:r>
            <w:r w:rsidRPr="00E74196">
              <w:rPr>
                <w:rFonts w:eastAsia="Times New Roman" w:cs="Arial"/>
                <w:szCs w:val="24"/>
              </w:rPr>
              <w:t>positive status is confirmed.</w:t>
            </w:r>
          </w:p>
          <w:p w:rsidR="00B32A01" w:rsidRPr="00E74196" w:rsidRDefault="00B32A01" w:rsidP="0016057D">
            <w:pPr>
              <w:rPr>
                <w:rFonts w:eastAsia="Times New Roman" w:cs="Arial"/>
                <w:szCs w:val="24"/>
              </w:rPr>
            </w:pPr>
          </w:p>
          <w:p w:rsidR="00B32A01" w:rsidRPr="00E74196" w:rsidRDefault="00B32A01" w:rsidP="0016057D">
            <w:pPr>
              <w:pStyle w:val="ListParagraph"/>
              <w:ind w:left="0"/>
              <w:rPr>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B32A01" w:rsidRPr="00E74196" w:rsidRDefault="00B32A01" w:rsidP="0016057D">
            <w:pPr>
              <w:rPr>
                <w:bCs w:val="0"/>
                <w:szCs w:val="24"/>
              </w:rPr>
            </w:pPr>
            <w:r w:rsidRPr="00E74196">
              <w:rPr>
                <w:bCs w:val="0"/>
                <w:szCs w:val="24"/>
              </w:rPr>
              <w:t>5.4</w:t>
            </w:r>
          </w:p>
        </w:tc>
        <w:tc>
          <w:tcPr>
            <w:tcW w:w="4050" w:type="dxa"/>
            <w:tcBorders>
              <w:top w:val="single" w:sz="12" w:space="0" w:color="17365D" w:themeColor="text2" w:themeShade="BF"/>
              <w:bottom w:val="single" w:sz="12" w:space="0" w:color="17365D" w:themeColor="text2" w:themeShade="BF"/>
            </w:tcBorders>
          </w:tcPr>
          <w:p w:rsidR="00B32A01" w:rsidRPr="00E74196" w:rsidRDefault="00B32A01" w:rsidP="0016057D">
            <w:pPr>
              <w:rPr>
                <w:rFonts w:cs="Arial"/>
                <w:szCs w:val="24"/>
              </w:rPr>
            </w:pPr>
            <w:r w:rsidRPr="00E74196">
              <w:rPr>
                <w:rFonts w:cs="Arial"/>
                <w:szCs w:val="24"/>
              </w:rPr>
              <w:t>HIV status confirmation will be established by one of the following:</w:t>
            </w:r>
          </w:p>
          <w:p w:rsidR="00B32A01" w:rsidRPr="00B32A01" w:rsidRDefault="00B32A01" w:rsidP="00B32A01">
            <w:pPr>
              <w:pStyle w:val="ListParagraph"/>
              <w:numPr>
                <w:ilvl w:val="0"/>
                <w:numId w:val="118"/>
              </w:numPr>
              <w:rPr>
                <w:rFonts w:cs="Arial"/>
                <w:szCs w:val="24"/>
              </w:rPr>
            </w:pPr>
            <w:r w:rsidRPr="00B32A01">
              <w:rPr>
                <w:rFonts w:cs="Arial"/>
                <w:szCs w:val="24"/>
              </w:rPr>
              <w:t>A confirmed positive HIV Antibody Test result confirmed by Western Blot or Immunofluorescence Assay (IFA) or Nucleic Acid Testing (Aptima) by blood, oral fluid or urine.</w:t>
            </w:r>
          </w:p>
          <w:p w:rsidR="00B32A01" w:rsidRPr="00B32A01" w:rsidRDefault="00B32A01" w:rsidP="00B32A01">
            <w:pPr>
              <w:pStyle w:val="ListParagraph"/>
              <w:numPr>
                <w:ilvl w:val="0"/>
                <w:numId w:val="118"/>
              </w:numPr>
              <w:rPr>
                <w:rFonts w:cs="Arial"/>
                <w:szCs w:val="24"/>
              </w:rPr>
            </w:pPr>
            <w:r w:rsidRPr="00B32A01">
              <w:rPr>
                <w:rFonts w:cs="Arial"/>
                <w:szCs w:val="24"/>
              </w:rPr>
              <w:t xml:space="preserve">A positive HIV Direct Viral </w:t>
            </w:r>
            <w:r w:rsidRPr="00B32A01">
              <w:rPr>
                <w:rFonts w:cs="Arial"/>
                <w:szCs w:val="24"/>
              </w:rPr>
              <w:lastRenderedPageBreak/>
              <w:t>Test such as PCR or P24 antigen.</w:t>
            </w:r>
          </w:p>
          <w:p w:rsidR="00B32A01" w:rsidRPr="00B32A01" w:rsidRDefault="00B32A01" w:rsidP="00B32A01">
            <w:pPr>
              <w:pStyle w:val="ListParagraph"/>
              <w:numPr>
                <w:ilvl w:val="0"/>
                <w:numId w:val="118"/>
              </w:numPr>
              <w:rPr>
                <w:rFonts w:cs="Arial"/>
                <w:szCs w:val="24"/>
              </w:rPr>
            </w:pPr>
            <w:r w:rsidRPr="00B32A01">
              <w:rPr>
                <w:rFonts w:cs="Arial"/>
                <w:szCs w:val="24"/>
              </w:rPr>
              <w:t>A positive viral culture result</w:t>
            </w:r>
          </w:p>
          <w:p w:rsidR="00B32A01" w:rsidRPr="00B32A01" w:rsidRDefault="00B32A01" w:rsidP="00B32A01">
            <w:pPr>
              <w:pStyle w:val="ListParagraph"/>
              <w:numPr>
                <w:ilvl w:val="0"/>
                <w:numId w:val="118"/>
              </w:numPr>
              <w:rPr>
                <w:szCs w:val="24"/>
              </w:rPr>
            </w:pPr>
            <w:r w:rsidRPr="00B32A01">
              <w:rPr>
                <w:rFonts w:cs="Arial"/>
                <w:szCs w:val="24"/>
              </w:rPr>
              <w:t>A detectable HIV-Viral Load or Viral Resistance test result.</w:t>
            </w:r>
          </w:p>
        </w:tc>
      </w:tr>
      <w:tr w:rsidR="00B32A01" w:rsidTr="008D6BA9">
        <w:trPr>
          <w:trHeight w:val="240"/>
        </w:trPr>
        <w:tc>
          <w:tcPr>
            <w:tcW w:w="648" w:type="dxa"/>
            <w:tcBorders>
              <w:top w:val="single" w:sz="12" w:space="0" w:color="17365D" w:themeColor="text2" w:themeShade="BF"/>
              <w:bottom w:val="single" w:sz="12" w:space="0" w:color="17365D" w:themeColor="text2" w:themeShade="BF"/>
            </w:tcBorders>
          </w:tcPr>
          <w:p w:rsidR="00B32A01" w:rsidRPr="00E74196" w:rsidRDefault="00B32A01" w:rsidP="007D4104">
            <w:pPr>
              <w:rPr>
                <w:bCs w:val="0"/>
                <w:szCs w:val="24"/>
              </w:rPr>
            </w:pPr>
            <w:r w:rsidRPr="00E74196">
              <w:rPr>
                <w:bCs w:val="0"/>
                <w:szCs w:val="24"/>
              </w:rPr>
              <w:lastRenderedPageBreak/>
              <w:t>5.5</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B32A01" w:rsidRPr="00E74196" w:rsidRDefault="00B32A01" w:rsidP="007D4104">
            <w:pPr>
              <w:rPr>
                <w:rFonts w:eastAsia="Times New Roman" w:cs="Arial"/>
                <w:szCs w:val="24"/>
              </w:rPr>
            </w:pPr>
            <w:r w:rsidRPr="00E74196">
              <w:rPr>
                <w:rFonts w:eastAsia="Times New Roman" w:cs="Arial"/>
                <w:szCs w:val="24"/>
              </w:rPr>
              <w:t>Providers shall assist consumers in applying for other funding sources to confirm Ryan White as payer of last resort</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B32A01" w:rsidRPr="00E74196" w:rsidRDefault="00B32A01" w:rsidP="007D4104">
            <w:pPr>
              <w:rPr>
                <w:bCs w:val="0"/>
                <w:szCs w:val="24"/>
              </w:rPr>
            </w:pPr>
            <w:r>
              <w:rPr>
                <w:bCs w:val="0"/>
                <w:szCs w:val="24"/>
              </w:rPr>
              <w:t>5.5</w:t>
            </w:r>
          </w:p>
        </w:tc>
        <w:tc>
          <w:tcPr>
            <w:tcW w:w="4050" w:type="dxa"/>
            <w:tcBorders>
              <w:top w:val="single" w:sz="12" w:space="0" w:color="17365D" w:themeColor="text2" w:themeShade="BF"/>
              <w:bottom w:val="single" w:sz="12" w:space="0" w:color="17365D" w:themeColor="text2" w:themeShade="BF"/>
            </w:tcBorders>
          </w:tcPr>
          <w:p w:rsidR="00B32A01" w:rsidRPr="00E74196" w:rsidRDefault="00B32A01" w:rsidP="007D4104">
            <w:pPr>
              <w:rPr>
                <w:rFonts w:cs="Arial"/>
                <w:szCs w:val="24"/>
              </w:rPr>
            </w:pPr>
            <w:r w:rsidRPr="00E74196">
              <w:rPr>
                <w:rFonts w:cs="Arial"/>
                <w:szCs w:val="24"/>
              </w:rPr>
              <w:t>Documentation of:</w:t>
            </w:r>
          </w:p>
          <w:p w:rsidR="00B32A01" w:rsidRPr="007D4104" w:rsidRDefault="00B32A01" w:rsidP="001B1B43">
            <w:pPr>
              <w:pStyle w:val="ListParagraph"/>
              <w:numPr>
                <w:ilvl w:val="0"/>
                <w:numId w:val="96"/>
              </w:numPr>
              <w:rPr>
                <w:rFonts w:cs="Arial"/>
                <w:szCs w:val="24"/>
              </w:rPr>
            </w:pPr>
            <w:r w:rsidRPr="007D4104">
              <w:rPr>
                <w:rFonts w:cs="Arial"/>
                <w:szCs w:val="24"/>
              </w:rPr>
              <w:t>Application form or receipt of application</w:t>
            </w:r>
          </w:p>
          <w:p w:rsidR="00B32A01" w:rsidRPr="007D4104" w:rsidRDefault="00B32A01" w:rsidP="001B1B43">
            <w:pPr>
              <w:pStyle w:val="ListParagraph"/>
              <w:numPr>
                <w:ilvl w:val="0"/>
                <w:numId w:val="96"/>
              </w:numPr>
              <w:rPr>
                <w:rFonts w:cs="Arial"/>
                <w:szCs w:val="24"/>
              </w:rPr>
            </w:pPr>
            <w:r w:rsidRPr="007D4104">
              <w:rPr>
                <w:rFonts w:cs="Arial"/>
                <w:szCs w:val="24"/>
              </w:rPr>
              <w:t>Appeal/denial letter</w:t>
            </w:r>
          </w:p>
          <w:p w:rsidR="00B32A01" w:rsidRPr="007D4104" w:rsidRDefault="00B32A01" w:rsidP="001B1B43">
            <w:pPr>
              <w:pStyle w:val="ListParagraph"/>
              <w:numPr>
                <w:ilvl w:val="0"/>
                <w:numId w:val="96"/>
              </w:numPr>
              <w:rPr>
                <w:rFonts w:cs="Arial"/>
                <w:szCs w:val="24"/>
              </w:rPr>
            </w:pPr>
            <w:r w:rsidRPr="007D4104">
              <w:rPr>
                <w:rFonts w:cs="Arial"/>
                <w:szCs w:val="24"/>
              </w:rPr>
              <w:t>Communications from other funding sources</w:t>
            </w:r>
          </w:p>
          <w:p w:rsidR="00B32A01" w:rsidRPr="00E74196" w:rsidRDefault="00B32A01" w:rsidP="007D4104">
            <w:pPr>
              <w:rPr>
                <w:rFonts w:cs="Arial"/>
                <w:szCs w:val="24"/>
              </w:rPr>
            </w:pPr>
          </w:p>
        </w:tc>
      </w:tr>
      <w:tr w:rsidR="00B32A01" w:rsidTr="008D6BA9">
        <w:trPr>
          <w:trHeight w:val="2016"/>
        </w:trPr>
        <w:tc>
          <w:tcPr>
            <w:tcW w:w="648" w:type="dxa"/>
            <w:tcBorders>
              <w:top w:val="single" w:sz="12" w:space="0" w:color="17365D" w:themeColor="text2" w:themeShade="BF"/>
              <w:bottom w:val="single" w:sz="12" w:space="0" w:color="17365D" w:themeColor="text2" w:themeShade="BF"/>
            </w:tcBorders>
          </w:tcPr>
          <w:p w:rsidR="00B32A01" w:rsidRPr="00E74196" w:rsidRDefault="00B32A01" w:rsidP="007D4104">
            <w:pPr>
              <w:rPr>
                <w:bCs w:val="0"/>
                <w:szCs w:val="24"/>
              </w:rPr>
            </w:pPr>
            <w:r w:rsidRPr="00E74196">
              <w:rPr>
                <w:rFonts w:eastAsia="Times New Roman" w:cs="Arial"/>
                <w:szCs w:val="24"/>
              </w:rPr>
              <w:t xml:space="preserve">5.6    </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B32A01" w:rsidRDefault="00B32A01" w:rsidP="007D4104">
            <w:pPr>
              <w:rPr>
                <w:rFonts w:cs="Arial"/>
                <w:szCs w:val="24"/>
              </w:rPr>
            </w:pPr>
            <w:r w:rsidRPr="00E74196">
              <w:rPr>
                <w:rFonts w:cs="Arial"/>
                <w:szCs w:val="24"/>
              </w:rPr>
              <w:t>Self–attestation by the consumer that there has been no change in their income, residency or insurance status maybe completed over the phone or during a visit that is in close proximity to their re-certification date.</w:t>
            </w:r>
          </w:p>
          <w:p w:rsidR="00B32A01" w:rsidRPr="00E74196" w:rsidRDefault="00B32A01" w:rsidP="007D4104">
            <w:pPr>
              <w:rPr>
                <w:rFonts w:eastAsia="Times New Roman"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B32A01" w:rsidRPr="00E74196" w:rsidRDefault="00B32A01" w:rsidP="007D4104">
            <w:pPr>
              <w:rPr>
                <w:bCs w:val="0"/>
                <w:szCs w:val="24"/>
              </w:rPr>
            </w:pPr>
            <w:r w:rsidRPr="00E74196">
              <w:rPr>
                <w:rFonts w:cs="Arial"/>
                <w:szCs w:val="24"/>
              </w:rPr>
              <w:t>5.6</w:t>
            </w:r>
          </w:p>
        </w:tc>
        <w:tc>
          <w:tcPr>
            <w:tcW w:w="4050" w:type="dxa"/>
            <w:tcBorders>
              <w:top w:val="single" w:sz="12" w:space="0" w:color="17365D" w:themeColor="text2" w:themeShade="BF"/>
              <w:bottom w:val="single" w:sz="12" w:space="0" w:color="17365D" w:themeColor="text2" w:themeShade="BF"/>
            </w:tcBorders>
          </w:tcPr>
          <w:p w:rsidR="00B32A01" w:rsidRPr="00E74196" w:rsidRDefault="00B32A01" w:rsidP="007D4104">
            <w:pPr>
              <w:rPr>
                <w:rFonts w:cs="Arial"/>
                <w:szCs w:val="24"/>
              </w:rPr>
            </w:pPr>
            <w:r w:rsidRPr="00E74196">
              <w:rPr>
                <w:rFonts w:cs="Arial"/>
                <w:szCs w:val="24"/>
              </w:rPr>
              <w:t>Documentation of self-attestation of “no change” shall be reflected in the progress notes in PE and a new “Notice of Eligibility” issued to the consumer.</w:t>
            </w:r>
          </w:p>
        </w:tc>
      </w:tr>
      <w:tr w:rsidR="00B32A01" w:rsidTr="008D6BA9">
        <w:trPr>
          <w:trHeight w:val="2016"/>
        </w:trPr>
        <w:tc>
          <w:tcPr>
            <w:tcW w:w="648" w:type="dxa"/>
            <w:tcBorders>
              <w:top w:val="single" w:sz="12" w:space="0" w:color="17365D" w:themeColor="text2" w:themeShade="BF"/>
              <w:bottom w:val="single" w:sz="12" w:space="0" w:color="17365D" w:themeColor="text2" w:themeShade="BF"/>
            </w:tcBorders>
          </w:tcPr>
          <w:p w:rsidR="00B32A01" w:rsidRPr="00E74196" w:rsidRDefault="00B32A01" w:rsidP="007D4104">
            <w:pPr>
              <w:rPr>
                <w:rFonts w:cs="Arial"/>
                <w:szCs w:val="24"/>
              </w:rPr>
            </w:pPr>
            <w:r w:rsidRPr="00E74196">
              <w:rPr>
                <w:rFonts w:eastAsia="Times New Roman" w:cs="Arial"/>
                <w:szCs w:val="24"/>
              </w:rPr>
              <w:t xml:space="preserve">5.7   </w:t>
            </w:r>
          </w:p>
          <w:p w:rsidR="00B32A01" w:rsidRPr="00E74196" w:rsidRDefault="00B32A01" w:rsidP="007D4104">
            <w:pPr>
              <w:rPr>
                <w:rFonts w:eastAsia="Times New Roman" w:cs="Arial"/>
                <w:szCs w:val="24"/>
              </w:rPr>
            </w:pP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B32A01" w:rsidRPr="00E74196" w:rsidRDefault="00B32A01" w:rsidP="007D4104">
            <w:pPr>
              <w:rPr>
                <w:rFonts w:cs="Arial"/>
                <w:szCs w:val="24"/>
              </w:rPr>
            </w:pPr>
            <w:r w:rsidRPr="00E74196">
              <w:rPr>
                <w:rFonts w:cs="Arial"/>
                <w:szCs w:val="24"/>
              </w:rPr>
              <w:t>Should the consumer indicate that there has been a change in income, residency or insurance status, the Case Manager shall ensure that documentation of the change is received no later than the client’s next scheduled appointment with the provider or within 3 days of self–attestation or of the change whichever is sooner.</w:t>
            </w:r>
          </w:p>
          <w:p w:rsidR="00B32A01" w:rsidRPr="00E74196" w:rsidRDefault="00B32A01" w:rsidP="007D4104">
            <w:pPr>
              <w:rPr>
                <w:rFonts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B32A01" w:rsidRPr="00E74196" w:rsidRDefault="00B32A01" w:rsidP="007D4104">
            <w:pPr>
              <w:rPr>
                <w:rFonts w:cs="Arial"/>
                <w:szCs w:val="24"/>
              </w:rPr>
            </w:pPr>
            <w:r w:rsidRPr="00E74196">
              <w:rPr>
                <w:rFonts w:cs="Arial"/>
                <w:szCs w:val="24"/>
              </w:rPr>
              <w:t xml:space="preserve">5.7    </w:t>
            </w:r>
          </w:p>
          <w:p w:rsidR="00B32A01" w:rsidRPr="00E74196" w:rsidRDefault="00B32A01" w:rsidP="007D4104">
            <w:pPr>
              <w:rPr>
                <w:rFonts w:cs="Arial"/>
                <w:szCs w:val="24"/>
              </w:rPr>
            </w:pPr>
          </w:p>
        </w:tc>
        <w:tc>
          <w:tcPr>
            <w:tcW w:w="4050" w:type="dxa"/>
            <w:tcBorders>
              <w:top w:val="single" w:sz="12" w:space="0" w:color="17365D" w:themeColor="text2" w:themeShade="BF"/>
              <w:bottom w:val="single" w:sz="12" w:space="0" w:color="17365D" w:themeColor="text2" w:themeShade="BF"/>
            </w:tcBorders>
          </w:tcPr>
          <w:p w:rsidR="00B32A01" w:rsidRPr="00E74196" w:rsidRDefault="00B32A01" w:rsidP="007D4104">
            <w:pPr>
              <w:rPr>
                <w:rFonts w:cs="Arial"/>
                <w:szCs w:val="24"/>
              </w:rPr>
            </w:pPr>
            <w:r w:rsidRPr="00E74196">
              <w:rPr>
                <w:rFonts w:cs="Arial"/>
                <w:szCs w:val="24"/>
              </w:rPr>
              <w:t>Progress notes in PE indicate the change(s) specified during the consumer’s self-attestation. Documentation verifying the change(s) shall be uploaded into PE no later than the next scheduled appointment or within 30-days from self-attestation of the change(s) whichever is sooner. Once documentation is received a new “Notice of Eligibility” shall be issued.</w:t>
            </w:r>
          </w:p>
          <w:p w:rsidR="00B32A01" w:rsidRPr="00E74196" w:rsidRDefault="00B32A01" w:rsidP="007D4104">
            <w:pPr>
              <w:rPr>
                <w:rFonts w:cs="Arial"/>
                <w:szCs w:val="24"/>
              </w:rPr>
            </w:pPr>
          </w:p>
        </w:tc>
      </w:tr>
    </w:tbl>
    <w:p w:rsidR="003B3574" w:rsidRPr="003B3574" w:rsidRDefault="003B3574" w:rsidP="000C316D">
      <w:pPr>
        <w:tabs>
          <w:tab w:val="left" w:pos="8295"/>
        </w:tabs>
        <w:spacing w:after="0"/>
        <w:jc w:val="both"/>
        <w:rPr>
          <w:rFonts w:ascii="Arial" w:hAnsi="Arial" w:cs="Arial"/>
          <w:sz w:val="24"/>
        </w:rPr>
      </w:pPr>
    </w:p>
    <w:tbl>
      <w:tblPr>
        <w:tblStyle w:val="TableGrid"/>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9576"/>
      </w:tblGrid>
      <w:tr w:rsidR="00DC6822" w:rsidRPr="00EF24E6" w:rsidTr="00B32A01">
        <w:tc>
          <w:tcPr>
            <w:tcW w:w="9576" w:type="dxa"/>
            <w:tcBorders>
              <w:top w:val="single" w:sz="4" w:space="0" w:color="auto"/>
              <w:bottom w:val="single" w:sz="4" w:space="0" w:color="auto"/>
            </w:tcBorders>
          </w:tcPr>
          <w:p w:rsidR="00DC6822" w:rsidRPr="00EF24E6" w:rsidRDefault="00DC6822" w:rsidP="00EF24E6">
            <w:pPr>
              <w:pStyle w:val="Heading3"/>
              <w:spacing w:before="0"/>
              <w:outlineLvl w:val="2"/>
              <w:rPr>
                <w:sz w:val="28"/>
              </w:rPr>
            </w:pPr>
            <w:bookmarkStart w:id="13" w:name="_Toc489280863"/>
            <w:r w:rsidRPr="00EF24E6">
              <w:rPr>
                <w:sz w:val="28"/>
              </w:rPr>
              <w:t xml:space="preserve">6.0 Assessment and </w:t>
            </w:r>
            <w:r w:rsidR="008477C1" w:rsidRPr="00EF24E6">
              <w:rPr>
                <w:sz w:val="28"/>
              </w:rPr>
              <w:t>Care</w:t>
            </w:r>
            <w:r w:rsidRPr="00EF24E6">
              <w:rPr>
                <w:sz w:val="28"/>
              </w:rPr>
              <w:t xml:space="preserve"> Plan</w:t>
            </w:r>
            <w:bookmarkEnd w:id="13"/>
          </w:p>
        </w:tc>
      </w:tr>
    </w:tbl>
    <w:p w:rsidR="00B32A01" w:rsidRDefault="00B32A01" w:rsidP="00B32A01">
      <w:pPr>
        <w:spacing w:after="0"/>
      </w:pPr>
    </w:p>
    <w:tbl>
      <w:tblPr>
        <w:tblStyle w:val="TableGrid"/>
        <w:tblW w:w="0" w:type="auto"/>
        <w:tblLook w:val="04A0" w:firstRow="1" w:lastRow="0" w:firstColumn="1" w:lastColumn="0" w:noHBand="0" w:noVBand="1"/>
      </w:tblPr>
      <w:tblGrid>
        <w:gridCol w:w="9576"/>
      </w:tblGrid>
      <w:tr w:rsidR="008D6BA9" w:rsidTr="008D6BA9">
        <w:tc>
          <w:tcPr>
            <w:tcW w:w="9576" w:type="dxa"/>
            <w:tcBorders>
              <w:top w:val="nil"/>
              <w:left w:val="nil"/>
              <w:bottom w:val="nil"/>
              <w:right w:val="nil"/>
            </w:tcBorders>
          </w:tcPr>
          <w:p w:rsidR="008D6BA9" w:rsidRPr="0041734B" w:rsidRDefault="008D6BA9" w:rsidP="001E469A">
            <w:pPr>
              <w:rPr>
                <w:rFonts w:cs="Arial"/>
                <w:szCs w:val="24"/>
              </w:rPr>
            </w:pPr>
            <w:r w:rsidRPr="0041734B">
              <w:rPr>
                <w:rFonts w:cs="Arial"/>
                <w:szCs w:val="24"/>
              </w:rPr>
              <w:t>The objectives of the standards for assessment and Care Plan are to:</w:t>
            </w:r>
          </w:p>
          <w:p w:rsidR="008D6BA9" w:rsidRPr="0033517C" w:rsidRDefault="008D6BA9" w:rsidP="001B1B43">
            <w:pPr>
              <w:pStyle w:val="ListParagraph"/>
              <w:numPr>
                <w:ilvl w:val="0"/>
                <w:numId w:val="35"/>
              </w:numPr>
              <w:rPr>
                <w:rFonts w:cs="Arial"/>
                <w:szCs w:val="24"/>
              </w:rPr>
            </w:pPr>
            <w:r w:rsidRPr="0033517C">
              <w:rPr>
                <w:rFonts w:cs="Arial"/>
                <w:szCs w:val="24"/>
              </w:rPr>
              <w:t>Gather information to determine the consumer’s needs;</w:t>
            </w:r>
          </w:p>
          <w:p w:rsidR="008D6BA9" w:rsidRPr="0033517C" w:rsidRDefault="008D6BA9" w:rsidP="001B1B43">
            <w:pPr>
              <w:pStyle w:val="ListParagraph"/>
              <w:numPr>
                <w:ilvl w:val="0"/>
                <w:numId w:val="35"/>
              </w:numPr>
              <w:rPr>
                <w:rFonts w:cs="Arial"/>
                <w:szCs w:val="24"/>
              </w:rPr>
            </w:pPr>
            <w:r w:rsidRPr="0033517C">
              <w:rPr>
                <w:rFonts w:cs="Arial"/>
                <w:szCs w:val="24"/>
              </w:rPr>
              <w:t>Identify the consumer’s goals and develop action steps to meet them;</w:t>
            </w:r>
          </w:p>
          <w:p w:rsidR="008D6BA9" w:rsidRPr="0033517C" w:rsidRDefault="008D6BA9" w:rsidP="001B1B43">
            <w:pPr>
              <w:pStyle w:val="ListParagraph"/>
              <w:numPr>
                <w:ilvl w:val="0"/>
                <w:numId w:val="35"/>
              </w:numPr>
              <w:rPr>
                <w:rFonts w:cs="Arial"/>
                <w:szCs w:val="24"/>
              </w:rPr>
            </w:pPr>
            <w:r w:rsidRPr="0033517C">
              <w:rPr>
                <w:rFonts w:cs="Arial"/>
                <w:szCs w:val="24"/>
              </w:rPr>
              <w:t xml:space="preserve">Identify a timeline and responsible parties for meeting the consumer’s goals; </w:t>
            </w:r>
          </w:p>
          <w:p w:rsidR="008D6BA9" w:rsidRPr="0033517C" w:rsidRDefault="008D6BA9" w:rsidP="001B1B43">
            <w:pPr>
              <w:pStyle w:val="ListParagraph"/>
              <w:numPr>
                <w:ilvl w:val="0"/>
                <w:numId w:val="35"/>
              </w:numPr>
              <w:rPr>
                <w:rFonts w:cs="Arial"/>
                <w:szCs w:val="24"/>
              </w:rPr>
            </w:pPr>
            <w:r w:rsidRPr="0033517C">
              <w:rPr>
                <w:rFonts w:cs="Arial"/>
                <w:szCs w:val="24"/>
              </w:rPr>
              <w:t>Ensure coordination of care with appropriate providers and referral to needed services.</w:t>
            </w:r>
          </w:p>
          <w:p w:rsidR="008D6BA9" w:rsidRPr="0041734B" w:rsidRDefault="008D6BA9" w:rsidP="008D6BA9">
            <w:pPr>
              <w:spacing w:before="240"/>
              <w:rPr>
                <w:rFonts w:cs="Arial"/>
                <w:b/>
                <w:szCs w:val="24"/>
              </w:rPr>
            </w:pPr>
            <w:r w:rsidRPr="0041734B">
              <w:rPr>
                <w:rFonts w:cs="Arial"/>
                <w:b/>
                <w:szCs w:val="24"/>
              </w:rPr>
              <w:t xml:space="preserve">Assessment: </w:t>
            </w:r>
          </w:p>
          <w:p w:rsidR="008D6BA9" w:rsidRPr="0041734B" w:rsidRDefault="008D6BA9" w:rsidP="008D6BA9">
            <w:pPr>
              <w:rPr>
                <w:rFonts w:cs="Arial"/>
                <w:b/>
                <w:szCs w:val="24"/>
              </w:rPr>
            </w:pPr>
            <w:r w:rsidRPr="0041734B">
              <w:rPr>
                <w:rFonts w:cs="Arial"/>
                <w:szCs w:val="24"/>
              </w:rPr>
              <w:t xml:space="preserve">All providers must assess the consumer’s needs for the provider’s service(s) to develop an appropriate Care Plan. This is not the same as the basic and comprehensive case </w:t>
            </w:r>
            <w:r w:rsidRPr="0041734B">
              <w:rPr>
                <w:rFonts w:cs="Arial"/>
                <w:szCs w:val="24"/>
              </w:rPr>
              <w:lastRenderedPageBreak/>
              <w:t>management assessment, which is the responsibility of the consumer’s case manager (see service</w:t>
            </w:r>
            <w:r w:rsidRPr="0041734B">
              <w:rPr>
                <w:rFonts w:ascii="Cambria Math" w:hAnsi="Cambria Math" w:cs="Cambria Math"/>
                <w:szCs w:val="24"/>
              </w:rPr>
              <w:t>‐</w:t>
            </w:r>
            <w:r w:rsidRPr="0041734B">
              <w:rPr>
                <w:rFonts w:cs="Arial"/>
                <w:szCs w:val="24"/>
              </w:rPr>
              <w:t>specific standards for Case Management Services) in collaboration with the consumer.</w:t>
            </w:r>
          </w:p>
          <w:p w:rsidR="008D6BA9" w:rsidRPr="0041734B" w:rsidRDefault="008D6BA9" w:rsidP="008D6BA9">
            <w:pPr>
              <w:spacing w:before="240"/>
              <w:rPr>
                <w:rFonts w:cs="Arial"/>
                <w:szCs w:val="24"/>
              </w:rPr>
            </w:pPr>
            <w:r w:rsidRPr="0041734B">
              <w:rPr>
                <w:rFonts w:cs="Arial"/>
                <w:szCs w:val="24"/>
              </w:rPr>
              <w:t>Service assessments include an assessment of all issues that may affect the consumer’s need for the provider service. The assessment is a cooperative and interactive information exchange between the staff and the consumer. The consumer will be the primary source of information. However, with consumer consent, assessments may include additional information from case manager(s), medical or psychosocial providers, caregivers, family members, and other sources of information, if the consumer grants permission to access these sources. The assessment should be conducted face</w:t>
            </w:r>
            <w:r w:rsidRPr="0041734B">
              <w:rPr>
                <w:rFonts w:ascii="Cambria Math" w:hAnsi="Cambria Math" w:cs="Cambria Math"/>
                <w:szCs w:val="24"/>
              </w:rPr>
              <w:t>‐</w:t>
            </w:r>
            <w:r w:rsidRPr="0041734B">
              <w:rPr>
                <w:rFonts w:cs="Arial"/>
                <w:szCs w:val="24"/>
              </w:rPr>
              <w:t>to</w:t>
            </w:r>
            <w:r w:rsidRPr="0041734B">
              <w:rPr>
                <w:rFonts w:ascii="Cambria Math" w:hAnsi="Cambria Math" w:cs="Cambria Math"/>
                <w:szCs w:val="24"/>
              </w:rPr>
              <w:t>‐</w:t>
            </w:r>
            <w:r w:rsidRPr="0041734B">
              <w:rPr>
                <w:rFonts w:cs="Arial"/>
                <w:szCs w:val="24"/>
              </w:rPr>
              <w:t>face within thirty (30) working days of intake, with accommodations for consumers who are too sick to attend the appointment at the provider agency.</w:t>
            </w:r>
          </w:p>
          <w:p w:rsidR="008D6BA9" w:rsidRPr="0041734B" w:rsidRDefault="008D6BA9" w:rsidP="008D6BA9">
            <w:pPr>
              <w:spacing w:before="240"/>
              <w:rPr>
                <w:rFonts w:cs="Arial"/>
                <w:szCs w:val="24"/>
              </w:rPr>
            </w:pPr>
            <w:r w:rsidRPr="0041734B">
              <w:rPr>
                <w:rFonts w:cs="Arial"/>
                <w:szCs w:val="24"/>
              </w:rPr>
              <w:t xml:space="preserve">It is the responsibility of the staff to reassess the consumer’s needs with the consumer as his/her needs change. The reassessment should be done as needed, but no less than once every three (3) months for Medical Case Managed consumers and six (6) months for others. If a consumer’s income, housing status, or insurance status/resource has changed since assessment or the most recent reassessment, agencies must ensure that the data in </w:t>
            </w:r>
            <w:r w:rsidRPr="0041734B">
              <w:rPr>
                <w:rFonts w:cs="Arial"/>
                <w:b/>
                <w:i/>
                <w:szCs w:val="24"/>
              </w:rPr>
              <w:t>PE</w:t>
            </w:r>
            <w:r w:rsidRPr="0041734B">
              <w:rPr>
                <w:rFonts w:cs="Arial"/>
                <w:szCs w:val="24"/>
              </w:rPr>
              <w:t xml:space="preserve"> is updated accordingly. The staff member is encouraged to contact other service providers/care givers involved with the consumer or family system in support of the consumer’s well-being. Staff members must comply with established agency confidentiality policies (see Standard 1.1) when engaging in information and coordination activities.</w:t>
            </w:r>
          </w:p>
          <w:p w:rsidR="008D6BA9" w:rsidRDefault="008D6BA9" w:rsidP="008D6BA9">
            <w:pPr>
              <w:spacing w:before="240"/>
              <w:rPr>
                <w:rFonts w:cs="Arial"/>
                <w:b/>
                <w:szCs w:val="24"/>
              </w:rPr>
            </w:pPr>
            <w:r w:rsidRPr="0041734B">
              <w:rPr>
                <w:rFonts w:cs="Arial"/>
                <w:b/>
                <w:szCs w:val="24"/>
              </w:rPr>
              <w:t>Individual Care Plan (ICP):</w:t>
            </w:r>
          </w:p>
          <w:p w:rsidR="008D6BA9" w:rsidRDefault="008D6BA9" w:rsidP="008D6BA9">
            <w:r w:rsidRPr="0041734B">
              <w:rPr>
                <w:rFonts w:cs="Arial"/>
                <w:szCs w:val="24"/>
              </w:rPr>
              <w:t>The purpose of the individual Care Plan (ICP) is to guide the provider and consumer in their collaborative effort to deliver high quality care corresponding to the consumer’s level of need. It should include short</w:t>
            </w:r>
            <w:r w:rsidRPr="0041734B">
              <w:rPr>
                <w:rFonts w:ascii="Cambria Math" w:hAnsi="Cambria Math" w:cs="Cambria Math"/>
                <w:szCs w:val="24"/>
              </w:rPr>
              <w:t>‐</w:t>
            </w:r>
            <w:r w:rsidRPr="0041734B">
              <w:rPr>
                <w:rFonts w:cs="Arial"/>
                <w:szCs w:val="24"/>
              </w:rPr>
              <w:t>term and long</w:t>
            </w:r>
            <w:r w:rsidRPr="0041734B">
              <w:rPr>
                <w:rFonts w:ascii="Cambria Math" w:hAnsi="Cambria Math" w:cs="Cambria Math"/>
                <w:szCs w:val="24"/>
              </w:rPr>
              <w:t>‐</w:t>
            </w:r>
            <w:r w:rsidRPr="0041734B">
              <w:rPr>
                <w:rFonts w:cs="Arial"/>
                <w:szCs w:val="24"/>
              </w:rPr>
              <w:t>term goals, based upon the needs identified in the assessment, and action steps needed to address each goal. The ICP should include specific services needed and referrals to be made, including clear time frames and an agreed upon plan for follow up.</w:t>
            </w:r>
            <w:r>
              <w:rPr>
                <w:rFonts w:cs="Arial"/>
                <w:szCs w:val="24"/>
              </w:rPr>
              <w:t xml:space="preserve"> </w:t>
            </w:r>
            <w:r w:rsidRPr="0041734B">
              <w:rPr>
                <w:rFonts w:cs="Arial"/>
                <w:szCs w:val="24"/>
              </w:rPr>
              <w:t>As with the assessment process, service planning is an on</w:t>
            </w:r>
            <w:r w:rsidRPr="0041734B">
              <w:rPr>
                <w:rFonts w:ascii="Cambria Math" w:hAnsi="Cambria Math" w:cs="Cambria Math"/>
                <w:szCs w:val="24"/>
              </w:rPr>
              <w:t>‐</w:t>
            </w:r>
            <w:r w:rsidRPr="0041734B">
              <w:rPr>
                <w:rFonts w:cs="Arial"/>
                <w:szCs w:val="24"/>
              </w:rPr>
              <w:t>going process. It is the responsibility of the staff to review and revise a client’s ICP as needed, but not less than once every three (3) months for Medical Case Managed consumers and six (6) months for others</w:t>
            </w:r>
          </w:p>
        </w:tc>
      </w:tr>
    </w:tbl>
    <w:p w:rsidR="008D6BA9" w:rsidRDefault="008D6BA9" w:rsidP="00B26D67">
      <w:pPr>
        <w:spacing w:after="0"/>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176"/>
        <w:gridCol w:w="612"/>
        <w:gridCol w:w="4050"/>
      </w:tblGrid>
      <w:tr w:rsidR="00EC3448" w:rsidTr="00B26D67">
        <w:tc>
          <w:tcPr>
            <w:tcW w:w="9558" w:type="dxa"/>
            <w:gridSpan w:val="4"/>
            <w:shd w:val="clear" w:color="auto" w:fill="17365D" w:themeFill="text2" w:themeFillShade="BF"/>
          </w:tcPr>
          <w:p w:rsidR="00EC3448" w:rsidRPr="001F30B2" w:rsidRDefault="00EC3448" w:rsidP="00EF24E6">
            <w:pPr>
              <w:pStyle w:val="Heading4"/>
              <w:spacing w:before="0"/>
              <w:outlineLvl w:val="3"/>
              <w:rPr>
                <w:bCs/>
              </w:rPr>
            </w:pPr>
            <w:bookmarkStart w:id="14" w:name="OLE_LINK2"/>
            <w:r w:rsidRPr="00EF24E6">
              <w:rPr>
                <w:bCs/>
                <w:color w:val="FFFFFF" w:themeColor="background1"/>
                <w:sz w:val="28"/>
              </w:rPr>
              <w:t xml:space="preserve">6.0 Assessment and </w:t>
            </w:r>
            <w:r w:rsidR="008477C1" w:rsidRPr="00EF24E6">
              <w:rPr>
                <w:bCs/>
                <w:color w:val="FFFFFF" w:themeColor="background1"/>
                <w:sz w:val="28"/>
              </w:rPr>
              <w:t>Care</w:t>
            </w:r>
            <w:r w:rsidRPr="00EF24E6">
              <w:rPr>
                <w:bCs/>
                <w:color w:val="FFFFFF" w:themeColor="background1"/>
                <w:sz w:val="28"/>
              </w:rPr>
              <w:t xml:space="preserve"> Plan</w:t>
            </w:r>
          </w:p>
        </w:tc>
      </w:tr>
      <w:tr w:rsidR="00EF24E6" w:rsidTr="00B26D67">
        <w:tc>
          <w:tcPr>
            <w:tcW w:w="4896" w:type="dxa"/>
            <w:gridSpan w:val="2"/>
            <w:vAlign w:val="center"/>
          </w:tcPr>
          <w:p w:rsidR="00EF24E6" w:rsidRPr="0033517C" w:rsidRDefault="00EF24E6" w:rsidP="00482002">
            <w:pPr>
              <w:jc w:val="center"/>
              <w:rPr>
                <w:b/>
                <w:bCs w:val="0"/>
                <w:sz w:val="28"/>
              </w:rPr>
            </w:pPr>
          </w:p>
        </w:tc>
        <w:tc>
          <w:tcPr>
            <w:tcW w:w="4662" w:type="dxa"/>
            <w:gridSpan w:val="2"/>
            <w:vAlign w:val="center"/>
          </w:tcPr>
          <w:p w:rsidR="00EF24E6" w:rsidRPr="0033517C" w:rsidRDefault="00EF24E6" w:rsidP="00482002">
            <w:pPr>
              <w:jc w:val="center"/>
              <w:rPr>
                <w:b/>
                <w:bCs w:val="0"/>
                <w:sz w:val="28"/>
              </w:rPr>
            </w:pPr>
          </w:p>
        </w:tc>
      </w:tr>
      <w:tr w:rsidR="00EC3448" w:rsidTr="00B26D67">
        <w:tc>
          <w:tcPr>
            <w:tcW w:w="4896" w:type="dxa"/>
            <w:gridSpan w:val="2"/>
            <w:tcBorders>
              <w:bottom w:val="single" w:sz="12" w:space="0" w:color="17365D" w:themeColor="text2" w:themeShade="BF"/>
              <w:right w:val="single" w:sz="12" w:space="0" w:color="17365D" w:themeColor="text2" w:themeShade="BF"/>
            </w:tcBorders>
            <w:vAlign w:val="center"/>
          </w:tcPr>
          <w:p w:rsidR="00EC3448" w:rsidRPr="007D4104" w:rsidRDefault="00EC3448" w:rsidP="00482002">
            <w:pPr>
              <w:jc w:val="center"/>
              <w:rPr>
                <w:rStyle w:val="BookTitle"/>
              </w:rPr>
            </w:pPr>
            <w:r w:rsidRPr="007D4104">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EC3448" w:rsidRPr="007D4104" w:rsidRDefault="00EC3448" w:rsidP="00482002">
            <w:pPr>
              <w:jc w:val="center"/>
              <w:rPr>
                <w:rStyle w:val="BookTitle"/>
              </w:rPr>
            </w:pPr>
            <w:r w:rsidRPr="007D4104">
              <w:rPr>
                <w:rStyle w:val="BookTitle"/>
              </w:rPr>
              <w:t>Measures</w:t>
            </w:r>
          </w:p>
        </w:tc>
      </w:tr>
      <w:tr w:rsidR="00EC3448" w:rsidTr="00B26D67">
        <w:tc>
          <w:tcPr>
            <w:tcW w:w="720" w:type="dxa"/>
            <w:tcBorders>
              <w:top w:val="single" w:sz="12" w:space="0" w:color="17365D" w:themeColor="text2" w:themeShade="BF"/>
              <w:bottom w:val="single" w:sz="12" w:space="0" w:color="17365D" w:themeColor="text2" w:themeShade="BF"/>
            </w:tcBorders>
          </w:tcPr>
          <w:p w:rsidR="00EC3448" w:rsidRPr="00E74196" w:rsidRDefault="00EC3448" w:rsidP="007D4104">
            <w:pPr>
              <w:rPr>
                <w:bCs w:val="0"/>
              </w:rPr>
            </w:pPr>
            <w:r w:rsidRPr="00E74196">
              <w:rPr>
                <w:bCs w:val="0"/>
              </w:rPr>
              <w:t>6.1</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E74196" w:rsidRDefault="00393F9C" w:rsidP="007D4104">
            <w:pPr>
              <w:rPr>
                <w:rFonts w:cs="Arial"/>
                <w:szCs w:val="24"/>
              </w:rPr>
            </w:pPr>
            <w:r w:rsidRPr="00E74196">
              <w:rPr>
                <w:rFonts w:cs="Arial"/>
                <w:szCs w:val="24"/>
              </w:rPr>
              <w:t>Within 30 days of consumer contact, initial assessment is conducted of consumer’s need for particular service</w:t>
            </w:r>
            <w:r w:rsidR="00DE4D08" w:rsidRPr="00E74196">
              <w:rPr>
                <w:rFonts w:cs="Arial"/>
                <w:szCs w:val="24"/>
              </w:rPr>
              <w:t>.</w:t>
            </w:r>
          </w:p>
          <w:p w:rsidR="00DE4D08" w:rsidRPr="00E74196" w:rsidRDefault="00DE4D08" w:rsidP="007D4104">
            <w:pPr>
              <w:rPr>
                <w:rFonts w:cs="Arial"/>
                <w:szCs w:val="24"/>
              </w:rPr>
            </w:pPr>
          </w:p>
        </w:tc>
        <w:tc>
          <w:tcPr>
            <w:tcW w:w="612" w:type="dxa"/>
            <w:tcBorders>
              <w:top w:val="single" w:sz="12" w:space="0" w:color="17365D" w:themeColor="text2" w:themeShade="BF"/>
              <w:left w:val="single" w:sz="12" w:space="0" w:color="17365D" w:themeColor="text2" w:themeShade="BF"/>
              <w:bottom w:val="single" w:sz="12" w:space="0" w:color="17365D" w:themeColor="text2" w:themeShade="BF"/>
            </w:tcBorders>
          </w:tcPr>
          <w:p w:rsidR="00EC3448" w:rsidRPr="00E74196" w:rsidRDefault="00F9073E" w:rsidP="007D4104">
            <w:pPr>
              <w:rPr>
                <w:bCs w:val="0"/>
              </w:rPr>
            </w:pPr>
            <w:r w:rsidRPr="00E74196">
              <w:rPr>
                <w:bCs w:val="0"/>
              </w:rPr>
              <w:t xml:space="preserve">6.1      </w:t>
            </w:r>
          </w:p>
        </w:tc>
        <w:tc>
          <w:tcPr>
            <w:tcW w:w="4050" w:type="dxa"/>
            <w:tcBorders>
              <w:top w:val="single" w:sz="12" w:space="0" w:color="17365D" w:themeColor="text2" w:themeShade="BF"/>
              <w:bottom w:val="single" w:sz="12" w:space="0" w:color="17365D" w:themeColor="text2" w:themeShade="BF"/>
            </w:tcBorders>
          </w:tcPr>
          <w:p w:rsidR="00EC3448" w:rsidRPr="00E74196" w:rsidRDefault="00393F9C" w:rsidP="007D4104">
            <w:pPr>
              <w:rPr>
                <w:bCs w:val="0"/>
              </w:rPr>
            </w:pPr>
            <w:r w:rsidRPr="00E74196">
              <w:rPr>
                <w:rFonts w:cs="Arial"/>
                <w:szCs w:val="24"/>
              </w:rPr>
              <w:t>Completed assessment form in the consumer electronic file.</w:t>
            </w:r>
          </w:p>
        </w:tc>
      </w:tr>
      <w:tr w:rsidR="00EC3448" w:rsidTr="00B26D67">
        <w:tc>
          <w:tcPr>
            <w:tcW w:w="720" w:type="dxa"/>
            <w:tcBorders>
              <w:top w:val="single" w:sz="12" w:space="0" w:color="17365D" w:themeColor="text2" w:themeShade="BF"/>
              <w:bottom w:val="single" w:sz="12" w:space="0" w:color="17365D" w:themeColor="text2" w:themeShade="BF"/>
            </w:tcBorders>
          </w:tcPr>
          <w:p w:rsidR="00EC3448" w:rsidRPr="00E74196" w:rsidRDefault="00EC3448" w:rsidP="007D4104">
            <w:pPr>
              <w:rPr>
                <w:bCs w:val="0"/>
              </w:rPr>
            </w:pPr>
            <w:r w:rsidRPr="00E74196">
              <w:rPr>
                <w:bCs w:val="0"/>
              </w:rPr>
              <w:t>6.2</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EC3448" w:rsidRPr="00E74196" w:rsidRDefault="00EC3448" w:rsidP="007D4104">
            <w:pPr>
              <w:rPr>
                <w:bCs w:val="0"/>
              </w:rPr>
            </w:pPr>
            <w:r w:rsidRPr="00E74196">
              <w:rPr>
                <w:bCs w:val="0"/>
              </w:rPr>
              <w:t xml:space="preserve">Within 30 days of consumer contact, ICP is developed collaboratively with the consumer that identifies goals </w:t>
            </w:r>
            <w:r w:rsidRPr="00E74196">
              <w:rPr>
                <w:bCs w:val="0"/>
              </w:rPr>
              <w:lastRenderedPageBreak/>
              <w:t>and objectives, resources to address consumer’s needs, and a timeline.</w:t>
            </w:r>
          </w:p>
          <w:p w:rsidR="00DE4D08" w:rsidRPr="00E74196" w:rsidRDefault="00DE4D08" w:rsidP="007D4104">
            <w:pPr>
              <w:rPr>
                <w:bCs w:val="0"/>
              </w:rPr>
            </w:pPr>
          </w:p>
        </w:tc>
        <w:tc>
          <w:tcPr>
            <w:tcW w:w="612" w:type="dxa"/>
            <w:tcBorders>
              <w:top w:val="single" w:sz="12" w:space="0" w:color="17365D" w:themeColor="text2" w:themeShade="BF"/>
              <w:left w:val="single" w:sz="12" w:space="0" w:color="17365D" w:themeColor="text2" w:themeShade="BF"/>
              <w:bottom w:val="single" w:sz="12" w:space="0" w:color="17365D" w:themeColor="text2" w:themeShade="BF"/>
            </w:tcBorders>
          </w:tcPr>
          <w:p w:rsidR="00EC3448" w:rsidRPr="00E74196" w:rsidRDefault="00EC3448" w:rsidP="007D4104">
            <w:pPr>
              <w:rPr>
                <w:bCs w:val="0"/>
              </w:rPr>
            </w:pPr>
            <w:r w:rsidRPr="00E74196">
              <w:rPr>
                <w:bCs w:val="0"/>
              </w:rPr>
              <w:lastRenderedPageBreak/>
              <w:t>6.2</w:t>
            </w:r>
          </w:p>
        </w:tc>
        <w:tc>
          <w:tcPr>
            <w:tcW w:w="4050" w:type="dxa"/>
            <w:tcBorders>
              <w:top w:val="single" w:sz="12" w:space="0" w:color="17365D" w:themeColor="text2" w:themeShade="BF"/>
              <w:bottom w:val="single" w:sz="12" w:space="0" w:color="17365D" w:themeColor="text2" w:themeShade="BF"/>
            </w:tcBorders>
          </w:tcPr>
          <w:p w:rsidR="00EC3448" w:rsidRPr="00E74196" w:rsidRDefault="00EC3448" w:rsidP="007D4104">
            <w:pPr>
              <w:rPr>
                <w:bCs w:val="0"/>
              </w:rPr>
            </w:pPr>
            <w:r w:rsidRPr="00E74196">
              <w:rPr>
                <w:bCs w:val="0"/>
              </w:rPr>
              <w:t>Completed IPC in consumer file signed by the consumer and staff person.</w:t>
            </w:r>
          </w:p>
        </w:tc>
      </w:tr>
      <w:tr w:rsidR="00EC3448" w:rsidTr="00B26D67">
        <w:trPr>
          <w:trHeight w:val="69"/>
        </w:trPr>
        <w:tc>
          <w:tcPr>
            <w:tcW w:w="720" w:type="dxa"/>
            <w:tcBorders>
              <w:top w:val="single" w:sz="12" w:space="0" w:color="17365D" w:themeColor="text2" w:themeShade="BF"/>
              <w:bottom w:val="single" w:sz="12" w:space="0" w:color="17365D" w:themeColor="text2" w:themeShade="BF"/>
            </w:tcBorders>
          </w:tcPr>
          <w:p w:rsidR="00EC3448" w:rsidRPr="00E74196" w:rsidRDefault="00EC3448" w:rsidP="007D4104">
            <w:pPr>
              <w:rPr>
                <w:bCs w:val="0"/>
              </w:rPr>
            </w:pPr>
            <w:r w:rsidRPr="00E74196">
              <w:rPr>
                <w:bCs w:val="0"/>
              </w:rPr>
              <w:lastRenderedPageBreak/>
              <w:t>6.3</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E74196" w:rsidRDefault="00EC3448" w:rsidP="008D6BA9">
            <w:pPr>
              <w:rPr>
                <w:bCs w:val="0"/>
              </w:rPr>
            </w:pPr>
            <w:r w:rsidRPr="00E74196">
              <w:rPr>
                <w:bCs w:val="0"/>
              </w:rPr>
              <w:t>Reassessment of the consumer’s needs is conducted as needed, but no less than once every three (3) months for Medical Case Managed consumers and six (6) months for others.</w:t>
            </w:r>
          </w:p>
        </w:tc>
        <w:tc>
          <w:tcPr>
            <w:tcW w:w="612" w:type="dxa"/>
            <w:tcBorders>
              <w:top w:val="single" w:sz="12" w:space="0" w:color="17365D" w:themeColor="text2" w:themeShade="BF"/>
              <w:left w:val="single" w:sz="12" w:space="0" w:color="17365D" w:themeColor="text2" w:themeShade="BF"/>
              <w:bottom w:val="single" w:sz="12" w:space="0" w:color="17365D" w:themeColor="text2" w:themeShade="BF"/>
            </w:tcBorders>
          </w:tcPr>
          <w:p w:rsidR="00EC3448" w:rsidRPr="00E74196" w:rsidRDefault="00EC3448" w:rsidP="007D4104">
            <w:pPr>
              <w:rPr>
                <w:bCs w:val="0"/>
              </w:rPr>
            </w:pPr>
            <w:r w:rsidRPr="00E74196">
              <w:rPr>
                <w:bCs w:val="0"/>
              </w:rPr>
              <w:t>6.3</w:t>
            </w:r>
          </w:p>
        </w:tc>
        <w:tc>
          <w:tcPr>
            <w:tcW w:w="4050" w:type="dxa"/>
            <w:tcBorders>
              <w:top w:val="single" w:sz="12" w:space="0" w:color="17365D" w:themeColor="text2" w:themeShade="BF"/>
              <w:bottom w:val="single" w:sz="12" w:space="0" w:color="17365D" w:themeColor="text2" w:themeShade="BF"/>
            </w:tcBorders>
          </w:tcPr>
          <w:p w:rsidR="00EC3448" w:rsidRPr="00E74196" w:rsidRDefault="00EC3448" w:rsidP="007D4104">
            <w:r w:rsidRPr="00E74196">
              <w:t>Documentation of reassessment in the consumer files (e.g., progress notes, updated notes on the initial assessment, or new assessment form).</w:t>
            </w:r>
          </w:p>
        </w:tc>
      </w:tr>
      <w:tr w:rsidR="00EC3448" w:rsidTr="00B26D67">
        <w:tc>
          <w:tcPr>
            <w:tcW w:w="720" w:type="dxa"/>
            <w:tcBorders>
              <w:top w:val="single" w:sz="12" w:space="0" w:color="17365D" w:themeColor="text2" w:themeShade="BF"/>
              <w:bottom w:val="single" w:sz="12" w:space="0" w:color="17365D" w:themeColor="text2" w:themeShade="BF"/>
            </w:tcBorders>
          </w:tcPr>
          <w:p w:rsidR="00EC3448" w:rsidRPr="00E74196" w:rsidRDefault="00EC3448" w:rsidP="007D4104">
            <w:pPr>
              <w:rPr>
                <w:bCs w:val="0"/>
              </w:rPr>
            </w:pPr>
            <w:r w:rsidRPr="00E74196">
              <w:rPr>
                <w:bCs w:val="0"/>
              </w:rPr>
              <w:t>6.4</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EC3448" w:rsidRPr="00E74196" w:rsidRDefault="008477C1" w:rsidP="007D4104">
            <w:pPr>
              <w:pStyle w:val="ListParagraph"/>
              <w:ind w:left="0"/>
            </w:pPr>
            <w:r w:rsidRPr="00E74196">
              <w:t>Care</w:t>
            </w:r>
            <w:r w:rsidR="00EC3448" w:rsidRPr="00E74196">
              <w:t xml:space="preserve"> plan is reviewed and revised as needed, but no less than once every three (3) months for Medical Case Managed consumers and six (6) months for others.</w:t>
            </w:r>
          </w:p>
        </w:tc>
        <w:tc>
          <w:tcPr>
            <w:tcW w:w="612" w:type="dxa"/>
            <w:tcBorders>
              <w:top w:val="single" w:sz="12" w:space="0" w:color="17365D" w:themeColor="text2" w:themeShade="BF"/>
              <w:left w:val="single" w:sz="12" w:space="0" w:color="17365D" w:themeColor="text2" w:themeShade="BF"/>
              <w:bottom w:val="single" w:sz="12" w:space="0" w:color="17365D" w:themeColor="text2" w:themeShade="BF"/>
            </w:tcBorders>
          </w:tcPr>
          <w:p w:rsidR="00EC3448" w:rsidRPr="00E74196" w:rsidRDefault="00EC3448" w:rsidP="007D4104">
            <w:pPr>
              <w:rPr>
                <w:bCs w:val="0"/>
              </w:rPr>
            </w:pPr>
            <w:r w:rsidRPr="00E74196">
              <w:rPr>
                <w:bCs w:val="0"/>
              </w:rPr>
              <w:t>6.4</w:t>
            </w:r>
          </w:p>
        </w:tc>
        <w:tc>
          <w:tcPr>
            <w:tcW w:w="4050" w:type="dxa"/>
            <w:tcBorders>
              <w:top w:val="single" w:sz="12" w:space="0" w:color="17365D" w:themeColor="text2" w:themeShade="BF"/>
              <w:bottom w:val="single" w:sz="12" w:space="0" w:color="17365D" w:themeColor="text2" w:themeShade="BF"/>
            </w:tcBorders>
          </w:tcPr>
          <w:p w:rsidR="00EC3448" w:rsidRPr="00E74196" w:rsidRDefault="00EC3448" w:rsidP="007D4104">
            <w:pPr>
              <w:pStyle w:val="ListParagraph"/>
              <w:ind w:left="0"/>
            </w:pPr>
            <w:r w:rsidRPr="00E74196">
              <w:t>Documentation of reassessment in the consumer files (e.g., progress notes, update notes on initial ICP, or new ICP). Updated ICP shall be signed by consumer, staff person, and supervisor.</w:t>
            </w:r>
          </w:p>
          <w:p w:rsidR="00DE4D08" w:rsidRPr="00E74196" w:rsidRDefault="00DE4D08" w:rsidP="007D4104">
            <w:pPr>
              <w:pStyle w:val="ListParagraph"/>
              <w:ind w:left="0"/>
            </w:pPr>
          </w:p>
        </w:tc>
      </w:tr>
      <w:tr w:rsidR="00EC3448" w:rsidTr="00B26D67">
        <w:tc>
          <w:tcPr>
            <w:tcW w:w="720" w:type="dxa"/>
            <w:tcBorders>
              <w:top w:val="single" w:sz="12" w:space="0" w:color="17365D" w:themeColor="text2" w:themeShade="BF"/>
              <w:bottom w:val="single" w:sz="12" w:space="0" w:color="17365D" w:themeColor="text2" w:themeShade="BF"/>
            </w:tcBorders>
          </w:tcPr>
          <w:p w:rsidR="00EC3448" w:rsidRPr="00E74196" w:rsidRDefault="00EC3448" w:rsidP="007D4104">
            <w:pPr>
              <w:rPr>
                <w:bCs w:val="0"/>
              </w:rPr>
            </w:pPr>
            <w:r w:rsidRPr="00E74196">
              <w:rPr>
                <w:bCs w:val="0"/>
              </w:rPr>
              <w:t>6.5</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EC3448" w:rsidRPr="00E74196" w:rsidRDefault="00EC3448" w:rsidP="007D4104">
            <w:pPr>
              <w:pStyle w:val="ListParagraph"/>
              <w:ind w:left="0"/>
            </w:pPr>
            <w:r w:rsidRPr="00E74196">
              <w:t xml:space="preserve">Program staff </w:t>
            </w:r>
            <w:r w:rsidR="00FA27A2" w:rsidRPr="00E74196">
              <w:t>identifies</w:t>
            </w:r>
            <w:r w:rsidRPr="00E74196">
              <w:t xml:space="preserve"> and communicates as appropriate (with documented consent of consumer</w:t>
            </w:r>
            <w:r w:rsidR="00FA27A2" w:rsidRPr="00E74196">
              <w:t>) with other service provide5rs to support coordination and delivery of high quality care and to prevent duplication of services.</w:t>
            </w:r>
          </w:p>
          <w:p w:rsidR="00DE4D08" w:rsidRPr="00E74196" w:rsidRDefault="00DE4D08" w:rsidP="007D4104">
            <w:pPr>
              <w:pStyle w:val="ListParagraph"/>
              <w:ind w:left="0"/>
            </w:pPr>
          </w:p>
        </w:tc>
        <w:tc>
          <w:tcPr>
            <w:tcW w:w="612" w:type="dxa"/>
            <w:tcBorders>
              <w:top w:val="single" w:sz="12" w:space="0" w:color="17365D" w:themeColor="text2" w:themeShade="BF"/>
              <w:left w:val="single" w:sz="12" w:space="0" w:color="17365D" w:themeColor="text2" w:themeShade="BF"/>
              <w:bottom w:val="single" w:sz="12" w:space="0" w:color="17365D" w:themeColor="text2" w:themeShade="BF"/>
            </w:tcBorders>
          </w:tcPr>
          <w:p w:rsidR="00EC3448" w:rsidRPr="00E74196" w:rsidRDefault="00FA27A2" w:rsidP="007D4104">
            <w:pPr>
              <w:rPr>
                <w:bCs w:val="0"/>
              </w:rPr>
            </w:pPr>
            <w:r w:rsidRPr="00E74196">
              <w:rPr>
                <w:bCs w:val="0"/>
              </w:rPr>
              <w:t>6.5</w:t>
            </w:r>
          </w:p>
        </w:tc>
        <w:tc>
          <w:tcPr>
            <w:tcW w:w="4050" w:type="dxa"/>
            <w:tcBorders>
              <w:top w:val="single" w:sz="12" w:space="0" w:color="17365D" w:themeColor="text2" w:themeShade="BF"/>
              <w:bottom w:val="single" w:sz="12" w:space="0" w:color="17365D" w:themeColor="text2" w:themeShade="BF"/>
            </w:tcBorders>
          </w:tcPr>
          <w:p w:rsidR="00EC3448" w:rsidRPr="00E74196" w:rsidRDefault="00FA27A2" w:rsidP="007D4104">
            <w:pPr>
              <w:pStyle w:val="ListParagraph"/>
              <w:ind w:left="0"/>
            </w:pPr>
            <w:r w:rsidRPr="00E74196">
              <w:t xml:space="preserve">Documentation in consumer </w:t>
            </w:r>
            <w:r w:rsidR="0033517C" w:rsidRPr="00E74196">
              <w:t>files</w:t>
            </w:r>
            <w:r w:rsidRPr="00E74196">
              <w:t xml:space="preserve"> of other staff within the agency or at another agency with whom the consumer may be working.</w:t>
            </w:r>
          </w:p>
        </w:tc>
      </w:tr>
    </w:tbl>
    <w:p w:rsidR="00B26D67" w:rsidRDefault="00B26D67" w:rsidP="00B26D67">
      <w:pPr>
        <w:spacing w:after="0"/>
      </w:pPr>
    </w:p>
    <w:tbl>
      <w:tblPr>
        <w:tblStyle w:val="TableGrid"/>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FA27A2" w:rsidTr="00B26D67">
        <w:tc>
          <w:tcPr>
            <w:tcW w:w="9576" w:type="dxa"/>
            <w:tcBorders>
              <w:top w:val="single" w:sz="12" w:space="0" w:color="17365D" w:themeColor="text2" w:themeShade="BF"/>
              <w:bottom w:val="single" w:sz="12" w:space="0" w:color="17365D" w:themeColor="text2" w:themeShade="BF"/>
            </w:tcBorders>
            <w:shd w:val="clear" w:color="auto" w:fill="auto"/>
          </w:tcPr>
          <w:p w:rsidR="00FA27A2" w:rsidRPr="00EF24E6" w:rsidRDefault="00FA27A2" w:rsidP="00EF24E6">
            <w:pPr>
              <w:pStyle w:val="Heading3"/>
              <w:spacing w:before="0"/>
              <w:outlineLvl w:val="2"/>
              <w:rPr>
                <w:sz w:val="28"/>
              </w:rPr>
            </w:pPr>
            <w:bookmarkStart w:id="15" w:name="_Toc489280864"/>
            <w:bookmarkEnd w:id="14"/>
            <w:r w:rsidRPr="00EF24E6">
              <w:rPr>
                <w:sz w:val="28"/>
              </w:rPr>
              <w:t>7.0 Transition and Discharge</w:t>
            </w:r>
            <w:bookmarkEnd w:id="15"/>
          </w:p>
        </w:tc>
      </w:tr>
    </w:tbl>
    <w:p w:rsidR="001E469A" w:rsidRDefault="001E469A" w:rsidP="001E469A">
      <w:pPr>
        <w:spacing w:after="0"/>
      </w:pPr>
    </w:p>
    <w:tbl>
      <w:tblPr>
        <w:tblW w:w="9552" w:type="dxa"/>
        <w:tblInd w:w="18" w:type="dxa"/>
        <w:tblLook w:val="04A0" w:firstRow="1" w:lastRow="0" w:firstColumn="1" w:lastColumn="0" w:noHBand="0" w:noVBand="1"/>
      </w:tblPr>
      <w:tblGrid>
        <w:gridCol w:w="9552"/>
      </w:tblGrid>
      <w:tr w:rsidR="00393F9C" w:rsidRPr="00393F9C" w:rsidTr="001E469A">
        <w:trPr>
          <w:trHeight w:val="1800"/>
        </w:trPr>
        <w:tc>
          <w:tcPr>
            <w:tcW w:w="9552" w:type="dxa"/>
            <w:shd w:val="clear" w:color="auto" w:fill="auto"/>
          </w:tcPr>
          <w:p w:rsidR="0033517C" w:rsidRPr="0033517C" w:rsidRDefault="0033517C" w:rsidP="001E469A">
            <w:pPr>
              <w:spacing w:after="0" w:line="240" w:lineRule="auto"/>
              <w:rPr>
                <w:rFonts w:ascii="Arial" w:eastAsia="Times New Roman" w:hAnsi="Arial" w:cs="Arial"/>
                <w:sz w:val="24"/>
                <w:szCs w:val="24"/>
              </w:rPr>
            </w:pPr>
            <w:r w:rsidRPr="0033517C">
              <w:rPr>
                <w:rFonts w:ascii="Arial" w:eastAsia="Times New Roman" w:hAnsi="Arial" w:cs="Arial"/>
                <w:sz w:val="24"/>
                <w:szCs w:val="24"/>
              </w:rPr>
              <w:t>The objectives of the standards for transition and discharge are to:</w:t>
            </w:r>
          </w:p>
          <w:p w:rsidR="0033517C" w:rsidRPr="0033517C" w:rsidRDefault="0033517C" w:rsidP="001B1B43">
            <w:pPr>
              <w:numPr>
                <w:ilvl w:val="0"/>
                <w:numId w:val="22"/>
              </w:numPr>
              <w:spacing w:after="0" w:line="240" w:lineRule="auto"/>
              <w:jc w:val="both"/>
              <w:rPr>
                <w:rFonts w:ascii="Arial" w:eastAsia="Times New Roman" w:hAnsi="Arial" w:cs="Arial"/>
                <w:sz w:val="24"/>
                <w:szCs w:val="24"/>
              </w:rPr>
            </w:pPr>
            <w:r w:rsidRPr="0033517C">
              <w:rPr>
                <w:rFonts w:ascii="Arial" w:eastAsia="Times New Roman" w:hAnsi="Arial" w:cs="Arial"/>
                <w:sz w:val="24"/>
                <w:szCs w:val="24"/>
              </w:rPr>
              <w:t>Ensure a smooth transition for consumers who no longer want or need services at the provider agency;</w:t>
            </w:r>
          </w:p>
          <w:p w:rsidR="0033517C" w:rsidRPr="0033517C" w:rsidRDefault="0033517C" w:rsidP="001B1B43">
            <w:pPr>
              <w:numPr>
                <w:ilvl w:val="0"/>
                <w:numId w:val="22"/>
              </w:numPr>
              <w:spacing w:after="0" w:line="240" w:lineRule="auto"/>
              <w:jc w:val="both"/>
              <w:rPr>
                <w:rFonts w:ascii="Arial" w:eastAsia="Times New Roman" w:hAnsi="Arial" w:cs="Arial"/>
                <w:sz w:val="24"/>
                <w:szCs w:val="24"/>
              </w:rPr>
            </w:pPr>
            <w:r w:rsidRPr="0033517C">
              <w:rPr>
                <w:rFonts w:ascii="Arial" w:eastAsia="Times New Roman" w:hAnsi="Arial" w:cs="Arial"/>
                <w:sz w:val="24"/>
                <w:szCs w:val="24"/>
              </w:rPr>
              <w:t>Assist provider agencies in more easily monitoring caseload; and</w:t>
            </w:r>
          </w:p>
          <w:p w:rsidR="0033517C" w:rsidRPr="0033517C" w:rsidRDefault="0033517C" w:rsidP="001B1B43">
            <w:pPr>
              <w:numPr>
                <w:ilvl w:val="0"/>
                <w:numId w:val="22"/>
              </w:numPr>
              <w:spacing w:after="0" w:line="240" w:lineRule="auto"/>
              <w:jc w:val="both"/>
              <w:rPr>
                <w:rFonts w:ascii="Arial" w:eastAsia="Times New Roman" w:hAnsi="Arial" w:cs="Arial"/>
                <w:sz w:val="24"/>
                <w:szCs w:val="24"/>
              </w:rPr>
            </w:pPr>
            <w:r w:rsidRPr="0033517C">
              <w:rPr>
                <w:rFonts w:ascii="Arial" w:eastAsia="Times New Roman" w:hAnsi="Arial" w:cs="Arial"/>
                <w:sz w:val="24"/>
                <w:szCs w:val="24"/>
              </w:rPr>
              <w:t>Plan after</w:t>
            </w:r>
            <w:r w:rsidRPr="0033517C">
              <w:rPr>
                <w:rFonts w:ascii="Cambria Math" w:eastAsia="Times New Roman" w:hAnsi="Cambria Math" w:cs="Cambria Math"/>
                <w:sz w:val="24"/>
                <w:szCs w:val="24"/>
              </w:rPr>
              <w:t>‐</w:t>
            </w:r>
            <w:r w:rsidRPr="0033517C">
              <w:rPr>
                <w:rFonts w:ascii="Arial" w:eastAsia="Times New Roman" w:hAnsi="Arial" w:cs="Arial"/>
                <w:sz w:val="24"/>
                <w:szCs w:val="24"/>
              </w:rPr>
              <w:t>care and re</w:t>
            </w:r>
            <w:r w:rsidRPr="0033517C">
              <w:rPr>
                <w:rFonts w:ascii="Cambria Math" w:eastAsia="Times New Roman" w:hAnsi="Cambria Math" w:cs="Cambria Math"/>
                <w:sz w:val="24"/>
                <w:szCs w:val="24"/>
              </w:rPr>
              <w:t>‐</w:t>
            </w:r>
            <w:r w:rsidRPr="0033517C">
              <w:rPr>
                <w:rFonts w:ascii="Arial" w:eastAsia="Times New Roman" w:hAnsi="Arial" w:cs="Arial"/>
                <w:sz w:val="24"/>
                <w:szCs w:val="24"/>
              </w:rPr>
              <w:t>entry into service.</w:t>
            </w:r>
          </w:p>
          <w:p w:rsidR="0033517C" w:rsidRPr="0033517C" w:rsidRDefault="0033517C" w:rsidP="001B1B43">
            <w:pPr>
              <w:numPr>
                <w:ilvl w:val="0"/>
                <w:numId w:val="22"/>
              </w:numPr>
              <w:spacing w:after="0" w:line="240" w:lineRule="auto"/>
              <w:jc w:val="both"/>
              <w:rPr>
                <w:rFonts w:ascii="Arial" w:eastAsia="Times New Roman" w:hAnsi="Arial" w:cs="Arial"/>
                <w:sz w:val="24"/>
                <w:szCs w:val="24"/>
              </w:rPr>
            </w:pPr>
            <w:r w:rsidRPr="0033517C">
              <w:rPr>
                <w:rFonts w:ascii="Arial" w:eastAsia="Times New Roman" w:hAnsi="Arial" w:cs="Arial"/>
                <w:sz w:val="24"/>
                <w:szCs w:val="24"/>
              </w:rPr>
              <w:t>Ensure continuum of care with the agency</w:t>
            </w:r>
          </w:p>
          <w:p w:rsidR="0033517C" w:rsidRPr="0033517C" w:rsidRDefault="0033517C" w:rsidP="007D4104">
            <w:pPr>
              <w:spacing w:after="0" w:line="240" w:lineRule="auto"/>
              <w:rPr>
                <w:rFonts w:ascii="Arial" w:eastAsia="Times New Roman" w:hAnsi="Arial" w:cs="Arial"/>
                <w:sz w:val="24"/>
                <w:szCs w:val="24"/>
              </w:rPr>
            </w:pPr>
          </w:p>
          <w:p w:rsidR="0033517C" w:rsidRPr="0033517C" w:rsidRDefault="0033517C" w:rsidP="007D4104">
            <w:pPr>
              <w:spacing w:after="0" w:line="240" w:lineRule="auto"/>
              <w:jc w:val="both"/>
              <w:rPr>
                <w:rFonts w:ascii="Arial" w:eastAsia="Times New Roman" w:hAnsi="Arial" w:cs="Arial"/>
                <w:sz w:val="24"/>
                <w:szCs w:val="24"/>
              </w:rPr>
            </w:pPr>
            <w:r w:rsidRPr="0033517C">
              <w:rPr>
                <w:rFonts w:ascii="Arial" w:eastAsia="Times New Roman" w:hAnsi="Arial" w:cs="Arial"/>
                <w:sz w:val="24"/>
                <w:szCs w:val="24"/>
              </w:rPr>
              <w:t>A consumer may be discharged from any service through a systematic process that includes a discharge summary in the consumer’s record. The discharge summary will include a reason for the discharge and a transition plan to other services or other provider agencies, if applicable. Agencies should maintain a list of available resources available for the consumer for referral purposes. If the consumer does not agree with the reason for discharge, (s) he should be referred to the provider agency’s grievance procedure.</w:t>
            </w:r>
          </w:p>
          <w:p w:rsidR="0033517C" w:rsidRPr="0033517C" w:rsidRDefault="0033517C" w:rsidP="007D4104">
            <w:pPr>
              <w:spacing w:after="0" w:line="240" w:lineRule="auto"/>
              <w:rPr>
                <w:rFonts w:ascii="Arial" w:eastAsia="Times New Roman" w:hAnsi="Arial" w:cs="Arial"/>
                <w:sz w:val="24"/>
                <w:szCs w:val="24"/>
              </w:rPr>
            </w:pPr>
          </w:p>
          <w:p w:rsidR="0033517C" w:rsidRPr="0033517C" w:rsidRDefault="0033517C" w:rsidP="007D4104">
            <w:pPr>
              <w:spacing w:after="0" w:line="240" w:lineRule="auto"/>
              <w:rPr>
                <w:rFonts w:ascii="Arial" w:eastAsia="Times New Roman" w:hAnsi="Arial" w:cs="Arial"/>
                <w:sz w:val="24"/>
                <w:szCs w:val="24"/>
              </w:rPr>
            </w:pPr>
            <w:r w:rsidRPr="0033517C">
              <w:rPr>
                <w:rFonts w:ascii="Arial" w:eastAsia="Times New Roman" w:hAnsi="Arial" w:cs="Arial"/>
                <w:sz w:val="24"/>
                <w:szCs w:val="24"/>
              </w:rPr>
              <w:t>A consumer may be discharged from any service for any of the following reasons:</w:t>
            </w:r>
          </w:p>
          <w:p w:rsidR="0033517C" w:rsidRPr="0033517C" w:rsidRDefault="0033517C" w:rsidP="001B1B43">
            <w:pPr>
              <w:numPr>
                <w:ilvl w:val="0"/>
                <w:numId w:val="23"/>
              </w:numPr>
              <w:spacing w:after="0" w:line="240" w:lineRule="auto"/>
              <w:jc w:val="both"/>
              <w:rPr>
                <w:rFonts w:ascii="Arial" w:eastAsia="Times New Roman" w:hAnsi="Arial" w:cs="Arial"/>
                <w:sz w:val="24"/>
                <w:szCs w:val="24"/>
              </w:rPr>
            </w:pPr>
            <w:r w:rsidRPr="0033517C">
              <w:rPr>
                <w:rFonts w:ascii="Arial" w:eastAsia="Times New Roman" w:hAnsi="Arial" w:cs="Arial"/>
                <w:sz w:val="24"/>
                <w:szCs w:val="24"/>
              </w:rPr>
              <w:t>Consumer dies;</w:t>
            </w:r>
          </w:p>
          <w:p w:rsidR="0033517C" w:rsidRPr="0033517C" w:rsidRDefault="0033517C" w:rsidP="001B1B43">
            <w:pPr>
              <w:numPr>
                <w:ilvl w:val="0"/>
                <w:numId w:val="23"/>
              </w:numPr>
              <w:spacing w:after="0" w:line="240" w:lineRule="auto"/>
              <w:jc w:val="both"/>
              <w:rPr>
                <w:rFonts w:ascii="Arial" w:eastAsia="Times New Roman" w:hAnsi="Arial" w:cs="Arial"/>
                <w:sz w:val="24"/>
                <w:szCs w:val="24"/>
              </w:rPr>
            </w:pPr>
            <w:r w:rsidRPr="0033517C">
              <w:rPr>
                <w:rFonts w:ascii="Arial" w:eastAsia="Times New Roman" w:hAnsi="Arial" w:cs="Arial"/>
                <w:sz w:val="24"/>
                <w:szCs w:val="24"/>
              </w:rPr>
              <w:t>Consumer requests a discharge;</w:t>
            </w:r>
          </w:p>
          <w:p w:rsidR="0033517C" w:rsidRPr="0033517C" w:rsidRDefault="0033517C" w:rsidP="001B1B43">
            <w:pPr>
              <w:numPr>
                <w:ilvl w:val="0"/>
                <w:numId w:val="23"/>
              </w:numPr>
              <w:spacing w:after="0" w:line="240" w:lineRule="auto"/>
              <w:jc w:val="both"/>
              <w:rPr>
                <w:rFonts w:ascii="Arial" w:eastAsia="Times New Roman" w:hAnsi="Arial" w:cs="Arial"/>
                <w:sz w:val="24"/>
                <w:szCs w:val="24"/>
              </w:rPr>
            </w:pPr>
            <w:r w:rsidRPr="0033517C">
              <w:rPr>
                <w:rFonts w:ascii="Arial" w:eastAsia="Times New Roman" w:hAnsi="Arial" w:cs="Arial"/>
                <w:sz w:val="24"/>
                <w:szCs w:val="24"/>
              </w:rPr>
              <w:t xml:space="preserve">Consumer’s needs change and (s)he would be better served through services at </w:t>
            </w:r>
            <w:r w:rsidRPr="0033517C">
              <w:rPr>
                <w:rFonts w:ascii="Arial" w:eastAsia="Times New Roman" w:hAnsi="Arial" w:cs="Arial"/>
                <w:sz w:val="24"/>
                <w:szCs w:val="24"/>
              </w:rPr>
              <w:lastRenderedPageBreak/>
              <w:t>another provider agency;</w:t>
            </w:r>
          </w:p>
          <w:p w:rsidR="0033517C" w:rsidRPr="0033517C" w:rsidRDefault="0033517C" w:rsidP="001B1B43">
            <w:pPr>
              <w:numPr>
                <w:ilvl w:val="0"/>
                <w:numId w:val="23"/>
              </w:numPr>
              <w:spacing w:after="0" w:line="240" w:lineRule="auto"/>
              <w:jc w:val="both"/>
              <w:rPr>
                <w:rFonts w:ascii="Arial" w:eastAsia="Times New Roman" w:hAnsi="Arial" w:cs="Arial"/>
                <w:sz w:val="24"/>
                <w:szCs w:val="24"/>
              </w:rPr>
            </w:pPr>
            <w:r w:rsidRPr="0033517C">
              <w:rPr>
                <w:rFonts w:ascii="Arial" w:eastAsia="Times New Roman" w:hAnsi="Arial" w:cs="Arial"/>
                <w:sz w:val="24"/>
                <w:szCs w:val="24"/>
              </w:rPr>
              <w:t>Consumer’s actions put the agency, service provider, or other consumers at risk;</w:t>
            </w:r>
          </w:p>
          <w:p w:rsidR="0033517C" w:rsidRPr="0033517C" w:rsidRDefault="0033517C" w:rsidP="001B1B43">
            <w:pPr>
              <w:numPr>
                <w:ilvl w:val="0"/>
                <w:numId w:val="23"/>
              </w:numPr>
              <w:spacing w:after="0" w:line="240" w:lineRule="auto"/>
              <w:jc w:val="both"/>
              <w:rPr>
                <w:rFonts w:ascii="Arial" w:eastAsia="Times New Roman" w:hAnsi="Arial" w:cs="Arial"/>
                <w:sz w:val="24"/>
                <w:szCs w:val="24"/>
              </w:rPr>
            </w:pPr>
            <w:r w:rsidRPr="0033517C">
              <w:rPr>
                <w:rFonts w:ascii="Arial" w:eastAsia="Times New Roman" w:hAnsi="Arial" w:cs="Arial"/>
                <w:sz w:val="24"/>
                <w:szCs w:val="24"/>
              </w:rPr>
              <w:t>Consumer moves/relocates out of the service area; or</w:t>
            </w:r>
          </w:p>
          <w:p w:rsidR="007D4104" w:rsidRPr="00BD2E15" w:rsidRDefault="0033517C" w:rsidP="001B1B43">
            <w:pPr>
              <w:numPr>
                <w:ilvl w:val="0"/>
                <w:numId w:val="23"/>
              </w:numPr>
              <w:spacing w:after="0" w:line="240" w:lineRule="auto"/>
              <w:jc w:val="both"/>
              <w:rPr>
                <w:rFonts w:ascii="Arial" w:eastAsia="Times New Roman" w:hAnsi="Arial" w:cs="Arial"/>
                <w:sz w:val="24"/>
                <w:szCs w:val="24"/>
              </w:rPr>
            </w:pPr>
            <w:r w:rsidRPr="00B26D67">
              <w:rPr>
                <w:rFonts w:ascii="Arial" w:eastAsia="Times New Roman" w:hAnsi="Arial" w:cs="Arial"/>
                <w:sz w:val="24"/>
                <w:szCs w:val="24"/>
              </w:rPr>
              <w:t xml:space="preserve">The agency is unable to reach a consumer, after repeated attempts including referral to </w:t>
            </w:r>
            <w:r w:rsidR="00BD2E15" w:rsidRPr="00B26D67">
              <w:rPr>
                <w:rFonts w:ascii="Arial" w:eastAsia="Times New Roman" w:hAnsi="Arial" w:cs="Arial"/>
                <w:sz w:val="24"/>
                <w:szCs w:val="24"/>
              </w:rPr>
              <w:t xml:space="preserve">Anti-Retroviral Treatment Access Strategy </w:t>
            </w:r>
            <w:r w:rsidRPr="00B26D67">
              <w:rPr>
                <w:rFonts w:ascii="Arial" w:eastAsia="Times New Roman" w:hAnsi="Arial" w:cs="Arial"/>
                <w:sz w:val="24"/>
                <w:szCs w:val="24"/>
              </w:rPr>
              <w:t>(</w:t>
            </w:r>
            <w:r w:rsidR="00BD2E15" w:rsidRPr="00B26D67">
              <w:rPr>
                <w:rFonts w:ascii="Arial" w:eastAsia="Times New Roman" w:hAnsi="Arial" w:cs="Arial"/>
                <w:sz w:val="24"/>
                <w:szCs w:val="24"/>
              </w:rPr>
              <w:t>ARTAS</w:t>
            </w:r>
            <w:r w:rsidRPr="00B26D67">
              <w:rPr>
                <w:rFonts w:ascii="Arial" w:eastAsia="Times New Roman" w:hAnsi="Arial" w:cs="Arial"/>
                <w:sz w:val="24"/>
                <w:szCs w:val="24"/>
              </w:rPr>
              <w:t xml:space="preserve">) or </w:t>
            </w:r>
            <w:r w:rsidR="00BD2E15" w:rsidRPr="00B26D67">
              <w:rPr>
                <w:rFonts w:ascii="Arial" w:eastAsia="Times New Roman" w:hAnsi="Arial" w:cs="Arial"/>
                <w:sz w:val="24"/>
                <w:szCs w:val="24"/>
              </w:rPr>
              <w:t>EIS</w:t>
            </w:r>
            <w:r w:rsidRPr="00B26D67">
              <w:rPr>
                <w:rFonts w:ascii="Arial" w:eastAsia="Times New Roman" w:hAnsi="Arial" w:cs="Arial"/>
                <w:sz w:val="24"/>
                <w:szCs w:val="24"/>
              </w:rPr>
              <w:t xml:space="preserve"> for a period of 6 </w:t>
            </w:r>
            <w:r w:rsidR="00BD2E15" w:rsidRPr="00B26D67">
              <w:rPr>
                <w:rFonts w:ascii="Arial" w:eastAsia="Times New Roman" w:hAnsi="Arial" w:cs="Arial"/>
                <w:sz w:val="24"/>
                <w:szCs w:val="24"/>
              </w:rPr>
              <w:t>months</w:t>
            </w:r>
          </w:p>
        </w:tc>
      </w:tr>
    </w:tbl>
    <w:p w:rsidR="001E469A" w:rsidRDefault="001E469A" w:rsidP="001E469A">
      <w:pPr>
        <w:spacing w:after="0"/>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176"/>
        <w:gridCol w:w="720"/>
        <w:gridCol w:w="3942"/>
      </w:tblGrid>
      <w:tr w:rsidR="00AA136F" w:rsidTr="001E469A">
        <w:tc>
          <w:tcPr>
            <w:tcW w:w="9558" w:type="dxa"/>
            <w:gridSpan w:val="4"/>
            <w:shd w:val="clear" w:color="auto" w:fill="17365D" w:themeFill="text2" w:themeFillShade="BF"/>
          </w:tcPr>
          <w:p w:rsidR="00AA136F" w:rsidRPr="001F30B2" w:rsidRDefault="00AA136F" w:rsidP="00EF24E6">
            <w:pPr>
              <w:pStyle w:val="Heading4"/>
              <w:spacing w:before="0"/>
              <w:outlineLvl w:val="3"/>
              <w:rPr>
                <w:bCs/>
              </w:rPr>
            </w:pPr>
            <w:r w:rsidRPr="00EF24E6">
              <w:rPr>
                <w:bCs/>
                <w:color w:val="FFFFFF" w:themeColor="background1"/>
                <w:sz w:val="28"/>
              </w:rPr>
              <w:t>7.0 Transition and Discharge</w:t>
            </w:r>
          </w:p>
        </w:tc>
      </w:tr>
      <w:tr w:rsidR="00EF24E6" w:rsidTr="001E469A">
        <w:tc>
          <w:tcPr>
            <w:tcW w:w="4896" w:type="dxa"/>
            <w:gridSpan w:val="2"/>
            <w:vAlign w:val="center"/>
          </w:tcPr>
          <w:p w:rsidR="00EF24E6" w:rsidRPr="00BD2E15" w:rsidRDefault="00EF24E6" w:rsidP="00F211FC">
            <w:pPr>
              <w:jc w:val="center"/>
              <w:rPr>
                <w:b/>
                <w:bCs w:val="0"/>
                <w:sz w:val="28"/>
              </w:rPr>
            </w:pPr>
          </w:p>
        </w:tc>
        <w:tc>
          <w:tcPr>
            <w:tcW w:w="4662" w:type="dxa"/>
            <w:gridSpan w:val="2"/>
            <w:vAlign w:val="center"/>
          </w:tcPr>
          <w:p w:rsidR="00EF24E6" w:rsidRPr="00BD2E15" w:rsidRDefault="00EF24E6" w:rsidP="00F211FC">
            <w:pPr>
              <w:jc w:val="center"/>
              <w:rPr>
                <w:b/>
                <w:bCs w:val="0"/>
                <w:sz w:val="28"/>
              </w:rPr>
            </w:pPr>
          </w:p>
        </w:tc>
      </w:tr>
      <w:tr w:rsidR="00AA136F" w:rsidTr="001E469A">
        <w:tc>
          <w:tcPr>
            <w:tcW w:w="4896" w:type="dxa"/>
            <w:gridSpan w:val="2"/>
            <w:tcBorders>
              <w:bottom w:val="single" w:sz="12" w:space="0" w:color="17365D" w:themeColor="text2" w:themeShade="BF"/>
              <w:right w:val="single" w:sz="12" w:space="0" w:color="17365D" w:themeColor="text2" w:themeShade="BF"/>
            </w:tcBorders>
            <w:vAlign w:val="center"/>
          </w:tcPr>
          <w:p w:rsidR="00AA136F" w:rsidRPr="007D4104" w:rsidRDefault="00AA136F" w:rsidP="00F211FC">
            <w:pPr>
              <w:jc w:val="center"/>
              <w:rPr>
                <w:rStyle w:val="BookTitle"/>
              </w:rPr>
            </w:pPr>
            <w:r w:rsidRPr="007D4104">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AA136F" w:rsidRPr="007D4104" w:rsidRDefault="00AA136F" w:rsidP="00F211FC">
            <w:pPr>
              <w:jc w:val="center"/>
              <w:rPr>
                <w:rStyle w:val="BookTitle"/>
              </w:rPr>
            </w:pPr>
            <w:r w:rsidRPr="007D4104">
              <w:rPr>
                <w:rStyle w:val="BookTitle"/>
              </w:rPr>
              <w:t>Measures</w:t>
            </w:r>
          </w:p>
        </w:tc>
      </w:tr>
      <w:tr w:rsidR="00AA136F" w:rsidRPr="00E74196" w:rsidTr="001E469A">
        <w:tc>
          <w:tcPr>
            <w:tcW w:w="720" w:type="dxa"/>
            <w:tcBorders>
              <w:top w:val="single" w:sz="12" w:space="0" w:color="17365D" w:themeColor="text2" w:themeShade="BF"/>
              <w:bottom w:val="single" w:sz="12" w:space="0" w:color="17365D" w:themeColor="text2" w:themeShade="BF"/>
            </w:tcBorders>
          </w:tcPr>
          <w:p w:rsidR="00AA136F" w:rsidRPr="00E74196" w:rsidRDefault="00AA136F" w:rsidP="007D4104">
            <w:pPr>
              <w:rPr>
                <w:bCs w:val="0"/>
              </w:rPr>
            </w:pPr>
            <w:r w:rsidRPr="00E74196">
              <w:rPr>
                <w:bCs w:val="0"/>
              </w:rPr>
              <w:t>7.1</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AA136F" w:rsidRPr="00E74196" w:rsidRDefault="00AA136F" w:rsidP="007D4104">
            <w:pPr>
              <w:rPr>
                <w:bCs w:val="0"/>
              </w:rPr>
            </w:pPr>
            <w:r w:rsidRPr="00E74196">
              <w:rPr>
                <w:bCs w:val="0"/>
              </w:rPr>
              <w:t>Agency has a transition and discharge procedure in place that is implemented for consumers leaving or discharged from services for any of the reasons listed in the narrative above.</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AA136F" w:rsidRPr="00E74196" w:rsidRDefault="00AA136F" w:rsidP="007D4104">
            <w:pPr>
              <w:rPr>
                <w:bCs w:val="0"/>
              </w:rPr>
            </w:pPr>
            <w:r w:rsidRPr="00E74196">
              <w:rPr>
                <w:bCs w:val="0"/>
              </w:rPr>
              <w:t>7.1</w:t>
            </w:r>
          </w:p>
        </w:tc>
        <w:tc>
          <w:tcPr>
            <w:tcW w:w="3942" w:type="dxa"/>
            <w:tcBorders>
              <w:top w:val="single" w:sz="12" w:space="0" w:color="17365D" w:themeColor="text2" w:themeShade="BF"/>
              <w:bottom w:val="single" w:sz="12" w:space="0" w:color="17365D" w:themeColor="text2" w:themeShade="BF"/>
            </w:tcBorders>
          </w:tcPr>
          <w:p w:rsidR="00AA136F" w:rsidRPr="00E74196" w:rsidRDefault="00AA136F" w:rsidP="007D4104">
            <w:pPr>
              <w:rPr>
                <w:bCs w:val="0"/>
              </w:rPr>
            </w:pPr>
            <w:r w:rsidRPr="00E74196">
              <w:rPr>
                <w:bCs w:val="0"/>
              </w:rPr>
              <w:t>Completed transition/discharge summary form on file, signed by consumer (if possible) and supervisor. Summary should include:</w:t>
            </w:r>
          </w:p>
          <w:p w:rsidR="00AA136F" w:rsidRPr="007D4104" w:rsidRDefault="00BD2E15" w:rsidP="001B1B43">
            <w:pPr>
              <w:pStyle w:val="ListParagraph"/>
              <w:numPr>
                <w:ilvl w:val="0"/>
                <w:numId w:val="97"/>
              </w:numPr>
            </w:pPr>
            <w:r w:rsidRPr="007D4104">
              <w:t>Reason for discharge, and</w:t>
            </w:r>
          </w:p>
          <w:p w:rsidR="00AA136F" w:rsidRPr="007D4104" w:rsidRDefault="00BD2E15" w:rsidP="001B1B43">
            <w:pPr>
              <w:pStyle w:val="ListParagraph"/>
              <w:numPr>
                <w:ilvl w:val="0"/>
                <w:numId w:val="97"/>
              </w:numPr>
            </w:pPr>
            <w:r w:rsidRPr="007D4104">
              <w:t>A plan for</w:t>
            </w:r>
            <w:r w:rsidR="00AA136F" w:rsidRPr="007D4104">
              <w:t xml:space="preserve"> transition to other services, if applicable, with confirmation of communication between referring and referral agencies, or between consumer and agency.</w:t>
            </w:r>
          </w:p>
          <w:p w:rsidR="00DE4D08" w:rsidRPr="00E74196" w:rsidRDefault="00DE4D08" w:rsidP="007D4104">
            <w:pPr>
              <w:pStyle w:val="ListParagraph"/>
            </w:pPr>
          </w:p>
        </w:tc>
      </w:tr>
      <w:tr w:rsidR="00AA136F" w:rsidRPr="00E74196" w:rsidTr="001E469A">
        <w:tc>
          <w:tcPr>
            <w:tcW w:w="720" w:type="dxa"/>
            <w:tcBorders>
              <w:top w:val="single" w:sz="12" w:space="0" w:color="17365D" w:themeColor="text2" w:themeShade="BF"/>
              <w:bottom w:val="single" w:sz="12" w:space="0" w:color="17365D" w:themeColor="text2" w:themeShade="BF"/>
            </w:tcBorders>
          </w:tcPr>
          <w:p w:rsidR="00AA136F" w:rsidRPr="00E74196" w:rsidRDefault="00AA136F" w:rsidP="007D4104">
            <w:pPr>
              <w:rPr>
                <w:bCs w:val="0"/>
              </w:rPr>
            </w:pPr>
            <w:r w:rsidRPr="00E74196">
              <w:rPr>
                <w:bCs w:val="0"/>
              </w:rPr>
              <w:t>7.2</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AA136F" w:rsidRPr="00E74196" w:rsidRDefault="00271346" w:rsidP="007D4104">
            <w:pPr>
              <w:rPr>
                <w:bCs w:val="0"/>
              </w:rPr>
            </w:pPr>
            <w:r w:rsidRPr="00E74196">
              <w:rPr>
                <w:bCs w:val="0"/>
              </w:rPr>
              <w:t>Agency has a due process policy in place for involuntary discharge of consumers from services; policy includes a series of verbal and written warnings before final notice and discharge.</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AA136F" w:rsidRPr="00E74196" w:rsidRDefault="00271346" w:rsidP="007D4104">
            <w:pPr>
              <w:rPr>
                <w:bCs w:val="0"/>
              </w:rPr>
            </w:pPr>
            <w:r w:rsidRPr="00E74196">
              <w:rPr>
                <w:bCs w:val="0"/>
              </w:rPr>
              <w:t>7.2</w:t>
            </w:r>
          </w:p>
        </w:tc>
        <w:tc>
          <w:tcPr>
            <w:tcW w:w="3942" w:type="dxa"/>
            <w:tcBorders>
              <w:top w:val="single" w:sz="12" w:space="0" w:color="17365D" w:themeColor="text2" w:themeShade="BF"/>
              <w:bottom w:val="single" w:sz="12" w:space="0" w:color="17365D" w:themeColor="text2" w:themeShade="BF"/>
            </w:tcBorders>
          </w:tcPr>
          <w:p w:rsidR="00AA136F" w:rsidRPr="00E74196" w:rsidRDefault="00271346" w:rsidP="007D4104">
            <w:pPr>
              <w:rPr>
                <w:bCs w:val="0"/>
              </w:rPr>
            </w:pPr>
            <w:r w:rsidRPr="00E74196">
              <w:rPr>
                <w:bCs w:val="0"/>
              </w:rPr>
              <w:t>Due process policy on file as part of transition and discharge procedure; due process policy described in the Consumer Rights and responsibilities and Grievance document (see Universal Standard 2.4).</w:t>
            </w:r>
          </w:p>
          <w:p w:rsidR="00DE4D08" w:rsidRPr="00E74196" w:rsidRDefault="00DE4D08" w:rsidP="007D4104">
            <w:pPr>
              <w:rPr>
                <w:bCs w:val="0"/>
              </w:rPr>
            </w:pPr>
          </w:p>
        </w:tc>
      </w:tr>
      <w:tr w:rsidR="00AA136F" w:rsidRPr="00E74196" w:rsidTr="001E469A">
        <w:tc>
          <w:tcPr>
            <w:tcW w:w="720" w:type="dxa"/>
            <w:tcBorders>
              <w:top w:val="single" w:sz="12" w:space="0" w:color="17365D" w:themeColor="text2" w:themeShade="BF"/>
              <w:bottom w:val="single" w:sz="12" w:space="0" w:color="17365D" w:themeColor="text2" w:themeShade="BF"/>
            </w:tcBorders>
          </w:tcPr>
          <w:p w:rsidR="00AA136F" w:rsidRPr="00E74196" w:rsidRDefault="00271346" w:rsidP="007D4104">
            <w:pPr>
              <w:rPr>
                <w:bCs w:val="0"/>
              </w:rPr>
            </w:pPr>
            <w:r w:rsidRPr="00E74196">
              <w:rPr>
                <w:bCs w:val="0"/>
              </w:rPr>
              <w:t>7.3</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AA136F" w:rsidRPr="00E74196" w:rsidRDefault="00271346" w:rsidP="007D4104">
            <w:pPr>
              <w:rPr>
                <w:bCs w:val="0"/>
              </w:rPr>
            </w:pPr>
            <w:r w:rsidRPr="00E74196">
              <w:rPr>
                <w:bCs w:val="0"/>
              </w:rPr>
              <w:t>Agency has a process for maintaining communication with consumers who are active and identifying those who are inactive.</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AA136F" w:rsidRPr="00E74196" w:rsidRDefault="00271346" w:rsidP="007D4104">
            <w:pPr>
              <w:rPr>
                <w:bCs w:val="0"/>
              </w:rPr>
            </w:pPr>
            <w:r w:rsidRPr="00E74196">
              <w:rPr>
                <w:bCs w:val="0"/>
              </w:rPr>
              <w:t>7.3</w:t>
            </w:r>
          </w:p>
        </w:tc>
        <w:tc>
          <w:tcPr>
            <w:tcW w:w="3942" w:type="dxa"/>
            <w:tcBorders>
              <w:top w:val="single" w:sz="12" w:space="0" w:color="17365D" w:themeColor="text2" w:themeShade="BF"/>
              <w:bottom w:val="single" w:sz="12" w:space="0" w:color="17365D" w:themeColor="text2" w:themeShade="BF"/>
            </w:tcBorders>
          </w:tcPr>
          <w:p w:rsidR="00AA136F" w:rsidRPr="00E74196" w:rsidRDefault="00271346" w:rsidP="007D4104">
            <w:r w:rsidRPr="00E74196">
              <w:t xml:space="preserve">Documentation of agency process for maintaining communication with active consumers and identifying inactive consumers. </w:t>
            </w:r>
          </w:p>
          <w:p w:rsidR="00DE4D08" w:rsidRPr="00E74196" w:rsidRDefault="00DE4D08" w:rsidP="007D4104"/>
        </w:tc>
      </w:tr>
      <w:tr w:rsidR="00AA136F" w:rsidRPr="00E74196" w:rsidTr="001E469A">
        <w:tc>
          <w:tcPr>
            <w:tcW w:w="720" w:type="dxa"/>
            <w:tcBorders>
              <w:top w:val="single" w:sz="12" w:space="0" w:color="17365D" w:themeColor="text2" w:themeShade="BF"/>
              <w:bottom w:val="single" w:sz="12" w:space="0" w:color="17365D" w:themeColor="text2" w:themeShade="BF"/>
            </w:tcBorders>
          </w:tcPr>
          <w:p w:rsidR="00AA136F" w:rsidRPr="00E74196" w:rsidRDefault="00271346" w:rsidP="007D4104">
            <w:pPr>
              <w:rPr>
                <w:bCs w:val="0"/>
              </w:rPr>
            </w:pPr>
            <w:r w:rsidRPr="00E74196">
              <w:rPr>
                <w:bCs w:val="0"/>
              </w:rPr>
              <w:t>7.4</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AA136F" w:rsidRPr="00E74196" w:rsidRDefault="00271346" w:rsidP="007D4104">
            <w:pPr>
              <w:pStyle w:val="ListParagraph"/>
              <w:ind w:left="0"/>
            </w:pPr>
            <w:r w:rsidRPr="00E74196">
              <w:t>Agency provides consumers with referral information to other services, as appropriate.</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AA136F" w:rsidRPr="00E74196" w:rsidRDefault="00271346" w:rsidP="007D4104">
            <w:pPr>
              <w:rPr>
                <w:bCs w:val="0"/>
              </w:rPr>
            </w:pPr>
            <w:r w:rsidRPr="00E74196">
              <w:rPr>
                <w:bCs w:val="0"/>
              </w:rPr>
              <w:t>7.4</w:t>
            </w:r>
          </w:p>
        </w:tc>
        <w:tc>
          <w:tcPr>
            <w:tcW w:w="3942" w:type="dxa"/>
            <w:tcBorders>
              <w:top w:val="single" w:sz="12" w:space="0" w:color="17365D" w:themeColor="text2" w:themeShade="BF"/>
              <w:bottom w:val="single" w:sz="12" w:space="0" w:color="17365D" w:themeColor="text2" w:themeShade="BF"/>
            </w:tcBorders>
          </w:tcPr>
          <w:p w:rsidR="00DE4D08" w:rsidRPr="00E74196" w:rsidRDefault="00271346" w:rsidP="007262F8">
            <w:pPr>
              <w:pStyle w:val="ListParagraph"/>
              <w:ind w:left="0"/>
            </w:pPr>
            <w:r w:rsidRPr="00E74196">
              <w:t>Resource directories or other material on HIV related services are on file and provided to consumers.</w:t>
            </w:r>
          </w:p>
        </w:tc>
      </w:tr>
    </w:tbl>
    <w:p w:rsidR="001E469A" w:rsidRDefault="001E469A"/>
    <w:p w:rsidR="001E469A" w:rsidRDefault="001E469A"/>
    <w:tbl>
      <w:tblPr>
        <w:tblStyle w:val="TableGrid"/>
        <w:tblW w:w="9558" w:type="dxa"/>
        <w:tblInd w:w="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tblGrid>
      <w:tr w:rsidR="009724C7" w:rsidTr="001E469A">
        <w:tc>
          <w:tcPr>
            <w:tcW w:w="9558" w:type="dxa"/>
            <w:tcBorders>
              <w:top w:val="single" w:sz="12" w:space="0" w:color="17365D" w:themeColor="text2" w:themeShade="BF"/>
              <w:bottom w:val="single" w:sz="12" w:space="0" w:color="17365D" w:themeColor="text2" w:themeShade="BF"/>
            </w:tcBorders>
          </w:tcPr>
          <w:p w:rsidR="009724C7" w:rsidRPr="005643F4" w:rsidRDefault="009724C7" w:rsidP="00EF24E6">
            <w:pPr>
              <w:pStyle w:val="Heading3"/>
              <w:spacing w:before="0"/>
              <w:outlineLvl w:val="2"/>
            </w:pPr>
            <w:bookmarkStart w:id="16" w:name="_Toc489280865"/>
            <w:r w:rsidRPr="00EF24E6">
              <w:rPr>
                <w:sz w:val="28"/>
              </w:rPr>
              <w:lastRenderedPageBreak/>
              <w:t>8.0 Data and Quality Management</w:t>
            </w:r>
            <w:bookmarkEnd w:id="16"/>
          </w:p>
        </w:tc>
      </w:tr>
    </w:tbl>
    <w:p w:rsidR="007262F8" w:rsidRDefault="007262F8" w:rsidP="007262F8">
      <w:pPr>
        <w:spacing w:after="0"/>
      </w:pPr>
    </w:p>
    <w:tbl>
      <w:tblPr>
        <w:tblStyle w:val="TableGrid"/>
        <w:tblW w:w="9558" w:type="dxa"/>
        <w:tblInd w:w="18" w:type="dxa"/>
        <w:tblLayout w:type="fixed"/>
        <w:tblLook w:val="04A0" w:firstRow="1" w:lastRow="0" w:firstColumn="1" w:lastColumn="0" w:noHBand="0" w:noVBand="1"/>
      </w:tblPr>
      <w:tblGrid>
        <w:gridCol w:w="9558"/>
      </w:tblGrid>
      <w:tr w:rsidR="008D6BA9" w:rsidTr="007262F8">
        <w:tc>
          <w:tcPr>
            <w:tcW w:w="9558" w:type="dxa"/>
            <w:tcBorders>
              <w:top w:val="nil"/>
              <w:left w:val="nil"/>
              <w:bottom w:val="nil"/>
              <w:right w:val="nil"/>
            </w:tcBorders>
          </w:tcPr>
          <w:p w:rsidR="008D6BA9" w:rsidRDefault="008D6BA9" w:rsidP="007262F8">
            <w:pPr>
              <w:rPr>
                <w:rFonts w:cs="Arial"/>
                <w:b/>
                <w:szCs w:val="24"/>
              </w:rPr>
            </w:pPr>
            <w:r>
              <w:rPr>
                <w:rFonts w:cs="Arial"/>
                <w:b/>
                <w:szCs w:val="24"/>
              </w:rPr>
              <w:t>Data Collection and Reporting:</w:t>
            </w:r>
          </w:p>
          <w:p w:rsidR="008D6BA9" w:rsidRDefault="008D6BA9" w:rsidP="008D6BA9">
            <w:pPr>
              <w:rPr>
                <w:rFonts w:cs="Arial"/>
                <w:szCs w:val="24"/>
              </w:rPr>
            </w:pPr>
            <w:r w:rsidRPr="00BD2E15">
              <w:rPr>
                <w:rFonts w:cs="Arial"/>
                <w:szCs w:val="24"/>
              </w:rPr>
              <w:t>The Orlando</w:t>
            </w:r>
            <w:r w:rsidRPr="000B5B66">
              <w:rPr>
                <w:rFonts w:cs="Arial"/>
                <w:szCs w:val="24"/>
              </w:rPr>
              <w:t xml:space="preserve"> EMA utilizes </w:t>
            </w:r>
            <w:r>
              <w:rPr>
                <w:rFonts w:cs="Arial"/>
                <w:szCs w:val="24"/>
              </w:rPr>
              <w:t>Provide Enterprise (PE)</w:t>
            </w:r>
            <w:r w:rsidRPr="000B5B66">
              <w:rPr>
                <w:rFonts w:cs="Arial"/>
                <w:szCs w:val="24"/>
              </w:rPr>
              <w:t xml:space="preserve"> to collect and report data; The Agency shall designate individuals to serve as Registered Users (A Registered User is an individual who is an employee of the Agency and who is designated by the Agency and agreed to by the </w:t>
            </w:r>
            <w:r>
              <w:rPr>
                <w:rFonts w:cs="Arial"/>
                <w:szCs w:val="24"/>
              </w:rPr>
              <w:t>Recipient.</w:t>
            </w:r>
            <w:r w:rsidRPr="000B5B66">
              <w:rPr>
                <w:rFonts w:cs="Arial"/>
                <w:szCs w:val="24"/>
              </w:rPr>
              <w:t xml:space="preserve"> </w:t>
            </w:r>
          </w:p>
          <w:p w:rsidR="008D6BA9" w:rsidRDefault="008D6BA9" w:rsidP="008D6BA9">
            <w:pPr>
              <w:rPr>
                <w:rFonts w:cs="Arial"/>
                <w:szCs w:val="24"/>
              </w:rPr>
            </w:pPr>
          </w:p>
          <w:p w:rsidR="008D6BA9" w:rsidRDefault="008D6BA9" w:rsidP="008D6BA9">
            <w:pPr>
              <w:rPr>
                <w:rFonts w:cs="Arial"/>
                <w:szCs w:val="24"/>
              </w:rPr>
            </w:pPr>
            <w:r w:rsidRPr="000B5B66">
              <w:rPr>
                <w:rFonts w:cs="Arial"/>
                <w:szCs w:val="24"/>
              </w:rPr>
              <w:t xml:space="preserve">This term shall not include volunteers as they shall not have access to the </w:t>
            </w:r>
            <w:r>
              <w:rPr>
                <w:rFonts w:cs="Arial"/>
                <w:szCs w:val="24"/>
              </w:rPr>
              <w:t>EDMS</w:t>
            </w:r>
            <w:r w:rsidRPr="000B5B66">
              <w:rPr>
                <w:rFonts w:cs="Arial"/>
                <w:szCs w:val="24"/>
              </w:rPr>
              <w:t xml:space="preserve">.) No employee of the Agency shall be permitted access to </w:t>
            </w:r>
            <w:r>
              <w:rPr>
                <w:rFonts w:cs="Arial"/>
                <w:szCs w:val="24"/>
              </w:rPr>
              <w:t>the EDMS</w:t>
            </w:r>
            <w:r w:rsidRPr="000B5B66">
              <w:rPr>
                <w:rFonts w:cs="Arial"/>
                <w:szCs w:val="24"/>
              </w:rPr>
              <w:t xml:space="preserve"> without having duly executed a Confidentiality Agreement, a copy of which shall be retained on-site by the Agency.</w:t>
            </w:r>
            <w:r>
              <w:t xml:space="preserve"> </w:t>
            </w:r>
            <w:r w:rsidRPr="000B5B66">
              <w:rPr>
                <w:rFonts w:cs="Arial"/>
                <w:szCs w:val="24"/>
              </w:rPr>
              <w:t>The Agency shall take all reasonable steps to protect the data base server</w:t>
            </w:r>
            <w:r>
              <w:rPr>
                <w:rFonts w:cs="Arial"/>
                <w:szCs w:val="24"/>
              </w:rPr>
              <w:t>. The agency</w:t>
            </w:r>
            <w:r w:rsidRPr="000B5B66">
              <w:rPr>
                <w:rFonts w:cs="Arial"/>
                <w:szCs w:val="24"/>
              </w:rPr>
              <w:t xml:space="preserve"> shall inform the </w:t>
            </w:r>
            <w:r>
              <w:rPr>
                <w:rFonts w:cs="Arial"/>
                <w:szCs w:val="24"/>
              </w:rPr>
              <w:t>Recipient,</w:t>
            </w:r>
            <w:r w:rsidRPr="000B5B66">
              <w:rPr>
                <w:rFonts w:cs="Arial"/>
                <w:szCs w:val="24"/>
              </w:rPr>
              <w:t xml:space="preserve"> in writing, of any mi</w:t>
            </w:r>
            <w:r>
              <w:rPr>
                <w:rFonts w:cs="Arial"/>
                <w:szCs w:val="24"/>
              </w:rPr>
              <w:t xml:space="preserve">suse by a Registered User or </w:t>
            </w:r>
            <w:r w:rsidRPr="000B5B66">
              <w:rPr>
                <w:rFonts w:cs="Arial"/>
                <w:szCs w:val="24"/>
              </w:rPr>
              <w:t>change</w:t>
            </w:r>
            <w:r>
              <w:rPr>
                <w:rFonts w:cs="Arial"/>
                <w:szCs w:val="24"/>
              </w:rPr>
              <w:t xml:space="preserve"> of</w:t>
            </w:r>
            <w:r w:rsidRPr="000B5B66">
              <w:rPr>
                <w:rFonts w:cs="Arial"/>
                <w:szCs w:val="24"/>
              </w:rPr>
              <w:t xml:space="preserve"> positions with</w:t>
            </w:r>
            <w:r>
              <w:rPr>
                <w:rFonts w:cs="Arial"/>
                <w:szCs w:val="24"/>
              </w:rPr>
              <w:t>in</w:t>
            </w:r>
            <w:r w:rsidRPr="000B5B66">
              <w:rPr>
                <w:rFonts w:cs="Arial"/>
                <w:szCs w:val="24"/>
              </w:rPr>
              <w:t xml:space="preserve"> the Agency resulting in a discontinued need for access to the system. </w:t>
            </w:r>
          </w:p>
          <w:p w:rsidR="008D6BA9" w:rsidRPr="00BD2E15" w:rsidRDefault="008D6BA9" w:rsidP="008D6BA9">
            <w:pPr>
              <w:rPr>
                <w:rFonts w:cs="Arial"/>
                <w:b/>
                <w:szCs w:val="24"/>
              </w:rPr>
            </w:pPr>
          </w:p>
          <w:p w:rsidR="008D6BA9" w:rsidRPr="000B5B66" w:rsidRDefault="008D6BA9" w:rsidP="008D6BA9">
            <w:pPr>
              <w:rPr>
                <w:rFonts w:cs="Arial"/>
                <w:szCs w:val="24"/>
              </w:rPr>
            </w:pPr>
            <w:r w:rsidRPr="000B5B66">
              <w:rPr>
                <w:rFonts w:cs="Arial"/>
                <w:szCs w:val="24"/>
              </w:rPr>
              <w:t>The following is a list of some</w:t>
            </w:r>
            <w:r>
              <w:rPr>
                <w:rFonts w:cs="Arial"/>
                <w:szCs w:val="24"/>
              </w:rPr>
              <w:t xml:space="preserve"> of</w:t>
            </w:r>
            <w:r w:rsidRPr="000B5B66">
              <w:rPr>
                <w:rFonts w:cs="Arial"/>
                <w:szCs w:val="24"/>
              </w:rPr>
              <w:t xml:space="preserve"> the reporting requirements:</w:t>
            </w:r>
          </w:p>
          <w:p w:rsidR="008D6BA9" w:rsidRPr="00BD2E15" w:rsidRDefault="008D6BA9" w:rsidP="001B1B43">
            <w:pPr>
              <w:pStyle w:val="ListParagraph"/>
              <w:numPr>
                <w:ilvl w:val="0"/>
                <w:numId w:val="36"/>
              </w:numPr>
              <w:rPr>
                <w:rFonts w:cs="Arial"/>
                <w:szCs w:val="24"/>
              </w:rPr>
            </w:pPr>
            <w:r w:rsidRPr="00BD2E15">
              <w:rPr>
                <w:rFonts w:cs="Arial"/>
                <w:szCs w:val="24"/>
              </w:rPr>
              <w:t xml:space="preserve">Monthly invoices and expenditure reports. </w:t>
            </w:r>
          </w:p>
          <w:p w:rsidR="008D6BA9" w:rsidRPr="00BD2E15" w:rsidRDefault="008D6BA9" w:rsidP="001B1B43">
            <w:pPr>
              <w:pStyle w:val="ListParagraph"/>
              <w:widowControl w:val="0"/>
              <w:numPr>
                <w:ilvl w:val="0"/>
                <w:numId w:val="36"/>
              </w:numPr>
              <w:rPr>
                <w:rFonts w:cs="Arial"/>
                <w:szCs w:val="24"/>
              </w:rPr>
            </w:pPr>
            <w:r w:rsidRPr="00BD2E15">
              <w:rPr>
                <w:rFonts w:cs="Arial"/>
                <w:szCs w:val="24"/>
              </w:rPr>
              <w:t>Monthly narrative report</w:t>
            </w:r>
          </w:p>
          <w:p w:rsidR="008D6BA9" w:rsidRPr="00BD2E15" w:rsidRDefault="008D6BA9" w:rsidP="001B1B43">
            <w:pPr>
              <w:pStyle w:val="ListParagraph"/>
              <w:numPr>
                <w:ilvl w:val="0"/>
                <w:numId w:val="36"/>
              </w:numPr>
              <w:rPr>
                <w:rFonts w:cs="Arial"/>
                <w:szCs w:val="24"/>
              </w:rPr>
            </w:pPr>
            <w:r w:rsidRPr="00BD2E15">
              <w:rPr>
                <w:rFonts w:cs="Arial"/>
                <w:szCs w:val="24"/>
              </w:rPr>
              <w:t xml:space="preserve">Quality outcomes and outcome measures. </w:t>
            </w:r>
          </w:p>
          <w:p w:rsidR="008D6BA9" w:rsidRPr="00BD2E15" w:rsidRDefault="008D6BA9" w:rsidP="001B1B43">
            <w:pPr>
              <w:pStyle w:val="ListParagraph"/>
              <w:numPr>
                <w:ilvl w:val="0"/>
                <w:numId w:val="36"/>
              </w:numPr>
              <w:rPr>
                <w:rFonts w:cs="Arial"/>
                <w:szCs w:val="24"/>
              </w:rPr>
            </w:pPr>
            <w:r w:rsidRPr="00BD2E15">
              <w:rPr>
                <w:rFonts w:cs="Arial"/>
                <w:szCs w:val="24"/>
              </w:rPr>
              <w:t xml:space="preserve">Women, Infants, Children and Youth (WICY) reports. </w:t>
            </w:r>
          </w:p>
          <w:p w:rsidR="008D6BA9" w:rsidRPr="00BD2E15" w:rsidRDefault="008D6BA9" w:rsidP="001B1B43">
            <w:pPr>
              <w:pStyle w:val="ListParagraph"/>
              <w:numPr>
                <w:ilvl w:val="0"/>
                <w:numId w:val="36"/>
              </w:numPr>
              <w:rPr>
                <w:rFonts w:cs="Arial"/>
                <w:szCs w:val="24"/>
              </w:rPr>
            </w:pPr>
            <w:r w:rsidRPr="00BD2E15">
              <w:rPr>
                <w:rFonts w:cs="Arial"/>
                <w:szCs w:val="24"/>
              </w:rPr>
              <w:t>Ryan White Services Report (RSR) Client level Data.</w:t>
            </w:r>
          </w:p>
          <w:p w:rsidR="008D6BA9" w:rsidRPr="00BD2E15" w:rsidRDefault="008D6BA9" w:rsidP="001B1B43">
            <w:pPr>
              <w:pStyle w:val="ListParagraph"/>
              <w:numPr>
                <w:ilvl w:val="0"/>
                <w:numId w:val="36"/>
              </w:numPr>
              <w:rPr>
                <w:rFonts w:cs="Arial"/>
                <w:szCs w:val="24"/>
              </w:rPr>
            </w:pPr>
            <w:r w:rsidRPr="00BD2E15">
              <w:rPr>
                <w:rFonts w:cs="Arial"/>
                <w:szCs w:val="24"/>
              </w:rPr>
              <w:t>Utilization/demographic data.</w:t>
            </w:r>
          </w:p>
          <w:p w:rsidR="008D6BA9" w:rsidRDefault="008D6BA9" w:rsidP="008D6BA9">
            <w:pPr>
              <w:spacing w:before="240"/>
              <w:rPr>
                <w:rFonts w:cs="Arial"/>
                <w:b/>
                <w:szCs w:val="24"/>
              </w:rPr>
            </w:pPr>
            <w:r w:rsidRPr="000B5B66">
              <w:rPr>
                <w:rFonts w:cs="Arial"/>
                <w:b/>
                <w:szCs w:val="24"/>
              </w:rPr>
              <w:t>Quality Management (QM)</w:t>
            </w:r>
          </w:p>
          <w:p w:rsidR="008D6BA9" w:rsidRPr="000B5B66" w:rsidRDefault="008D6BA9" w:rsidP="008D6BA9">
            <w:pPr>
              <w:rPr>
                <w:rFonts w:cs="Arial"/>
                <w:szCs w:val="24"/>
              </w:rPr>
            </w:pPr>
            <w:r w:rsidRPr="000B5B66">
              <w:rPr>
                <w:rFonts w:cs="Arial"/>
                <w:szCs w:val="24"/>
              </w:rPr>
              <w:t xml:space="preserve">The objective of QM </w:t>
            </w:r>
            <w:r>
              <w:rPr>
                <w:rFonts w:cs="Arial"/>
                <w:szCs w:val="24"/>
              </w:rPr>
              <w:t>is</w:t>
            </w:r>
            <w:r w:rsidRPr="000B5B66">
              <w:rPr>
                <w:rFonts w:cs="Arial"/>
                <w:szCs w:val="24"/>
              </w:rPr>
              <w:t>:</w:t>
            </w:r>
          </w:p>
          <w:p w:rsidR="008D6BA9" w:rsidRPr="000B5B66" w:rsidRDefault="008D6BA9" w:rsidP="001B1B43">
            <w:pPr>
              <w:numPr>
                <w:ilvl w:val="0"/>
                <w:numId w:val="24"/>
              </w:numPr>
              <w:rPr>
                <w:rFonts w:cs="Arial"/>
                <w:szCs w:val="24"/>
              </w:rPr>
            </w:pPr>
            <w:r w:rsidRPr="000B5B66">
              <w:rPr>
                <w:rFonts w:cs="Arial"/>
                <w:szCs w:val="24"/>
              </w:rPr>
              <w:t xml:space="preserve">To </w:t>
            </w:r>
            <w:r>
              <w:rPr>
                <w:rFonts w:cs="Arial"/>
                <w:szCs w:val="24"/>
              </w:rPr>
              <w:t>i</w:t>
            </w:r>
            <w:r w:rsidRPr="000B5B66">
              <w:rPr>
                <w:rFonts w:cs="Arial"/>
                <w:szCs w:val="24"/>
              </w:rPr>
              <w:t>dentify available HIV-related quality measures and how they are used</w:t>
            </w:r>
          </w:p>
          <w:p w:rsidR="008D6BA9" w:rsidRPr="000B5B66" w:rsidRDefault="008D6BA9" w:rsidP="001B1B43">
            <w:pPr>
              <w:numPr>
                <w:ilvl w:val="0"/>
                <w:numId w:val="24"/>
              </w:numPr>
              <w:rPr>
                <w:rFonts w:cs="Arial"/>
                <w:szCs w:val="24"/>
              </w:rPr>
            </w:pPr>
            <w:r w:rsidRPr="000B5B66">
              <w:rPr>
                <w:rFonts w:cs="Arial"/>
                <w:szCs w:val="24"/>
              </w:rPr>
              <w:t xml:space="preserve">To monitor the delivery of HIV care network service providers. </w:t>
            </w:r>
          </w:p>
          <w:p w:rsidR="008D6BA9" w:rsidRPr="000B5B66" w:rsidRDefault="008D6BA9" w:rsidP="001B1B43">
            <w:pPr>
              <w:numPr>
                <w:ilvl w:val="0"/>
                <w:numId w:val="24"/>
              </w:numPr>
              <w:rPr>
                <w:rFonts w:cs="Arial"/>
                <w:szCs w:val="24"/>
              </w:rPr>
            </w:pPr>
            <w:r w:rsidRPr="000B5B66">
              <w:rPr>
                <w:rFonts w:cs="Arial"/>
                <w:szCs w:val="24"/>
              </w:rPr>
              <w:t>To support the implementation of HIV quality measures across public and private insurers and health care systems as health care coverage is expanded.</w:t>
            </w:r>
          </w:p>
          <w:p w:rsidR="008D6BA9" w:rsidRPr="000B5B66" w:rsidRDefault="008D6BA9" w:rsidP="001B1B43">
            <w:pPr>
              <w:numPr>
                <w:ilvl w:val="0"/>
                <w:numId w:val="24"/>
              </w:numPr>
              <w:rPr>
                <w:rFonts w:cs="Arial"/>
                <w:szCs w:val="24"/>
              </w:rPr>
            </w:pPr>
            <w:r w:rsidRPr="000B5B66">
              <w:rPr>
                <w:rFonts w:cs="Arial"/>
                <w:szCs w:val="24"/>
              </w:rPr>
              <w:t>To support adherence to current HIV clinical guidelines and federal guidelines.</w:t>
            </w:r>
          </w:p>
          <w:p w:rsidR="008D6BA9" w:rsidRPr="000B5B66" w:rsidRDefault="008D6BA9" w:rsidP="001B1B43">
            <w:pPr>
              <w:numPr>
                <w:ilvl w:val="0"/>
                <w:numId w:val="24"/>
              </w:numPr>
              <w:rPr>
                <w:rFonts w:cs="Arial"/>
                <w:szCs w:val="24"/>
              </w:rPr>
            </w:pPr>
            <w:r w:rsidRPr="000B5B66">
              <w:rPr>
                <w:rFonts w:cs="Arial"/>
                <w:szCs w:val="24"/>
              </w:rPr>
              <w:t>To track a standardized set of quality measures across patient populations and public and private insurers to monitor access to high quality HIV care.</w:t>
            </w:r>
          </w:p>
          <w:p w:rsidR="008D6BA9" w:rsidRDefault="008D6BA9" w:rsidP="008D6BA9">
            <w:pPr>
              <w:spacing w:before="240"/>
              <w:rPr>
                <w:rFonts w:cs="Arial"/>
                <w:szCs w:val="24"/>
              </w:rPr>
            </w:pPr>
            <w:r w:rsidRPr="000B5B66">
              <w:rPr>
                <w:rFonts w:cs="Arial"/>
                <w:szCs w:val="24"/>
              </w:rPr>
              <w:t>Implementation of a Clinical Quality Management (CQM) Program to:</w:t>
            </w:r>
          </w:p>
          <w:p w:rsidR="008D6BA9" w:rsidRPr="000B5B66" w:rsidRDefault="008D6BA9" w:rsidP="001B1B43">
            <w:pPr>
              <w:numPr>
                <w:ilvl w:val="0"/>
                <w:numId w:val="24"/>
              </w:numPr>
              <w:rPr>
                <w:rFonts w:cs="Arial"/>
                <w:szCs w:val="24"/>
              </w:rPr>
            </w:pPr>
            <w:r w:rsidRPr="000B5B66">
              <w:rPr>
                <w:rFonts w:cs="Arial"/>
                <w:szCs w:val="24"/>
              </w:rPr>
              <w:t>Assess the extent to which HIV health services provided to patients under the grant are consistent with the most recent HHS Guidelines for the treatment of HIV/AIDS and related opportunistic infections</w:t>
            </w:r>
          </w:p>
          <w:p w:rsidR="008D6BA9" w:rsidRPr="000B5B66" w:rsidRDefault="008D6BA9" w:rsidP="001B1B43">
            <w:pPr>
              <w:numPr>
                <w:ilvl w:val="0"/>
                <w:numId w:val="24"/>
              </w:numPr>
              <w:rPr>
                <w:rFonts w:cs="Arial"/>
                <w:szCs w:val="24"/>
              </w:rPr>
            </w:pPr>
            <w:r w:rsidRPr="000B5B66">
              <w:rPr>
                <w:rFonts w:cs="Arial"/>
                <w:szCs w:val="24"/>
              </w:rPr>
              <w:t>Develop strategies for ensuring that services are consistent with the guidelines for improvement in the access to and quality of HIV health services CQM program to include:</w:t>
            </w:r>
          </w:p>
          <w:p w:rsidR="008D6BA9" w:rsidRPr="000B5B66" w:rsidRDefault="008D6BA9" w:rsidP="001B1B43">
            <w:pPr>
              <w:numPr>
                <w:ilvl w:val="0"/>
                <w:numId w:val="25"/>
              </w:numPr>
              <w:rPr>
                <w:rFonts w:cs="Arial"/>
                <w:szCs w:val="24"/>
              </w:rPr>
            </w:pPr>
            <w:r w:rsidRPr="000B5B66">
              <w:rPr>
                <w:rFonts w:cs="Arial"/>
                <w:szCs w:val="24"/>
              </w:rPr>
              <w:t>A Quality Management Plan</w:t>
            </w:r>
          </w:p>
          <w:p w:rsidR="008D6BA9" w:rsidRPr="000B5B66" w:rsidRDefault="008D6BA9" w:rsidP="001B1B43">
            <w:pPr>
              <w:numPr>
                <w:ilvl w:val="0"/>
                <w:numId w:val="25"/>
              </w:numPr>
              <w:rPr>
                <w:rFonts w:cs="Arial"/>
                <w:szCs w:val="24"/>
              </w:rPr>
            </w:pPr>
            <w:r w:rsidRPr="000B5B66">
              <w:rPr>
                <w:rFonts w:cs="Arial"/>
                <w:szCs w:val="24"/>
              </w:rPr>
              <w:t>Quality expectations for providers and services</w:t>
            </w:r>
          </w:p>
          <w:p w:rsidR="008D6BA9" w:rsidRPr="000B5B66" w:rsidRDefault="008D6BA9" w:rsidP="001B1B43">
            <w:pPr>
              <w:numPr>
                <w:ilvl w:val="0"/>
                <w:numId w:val="25"/>
              </w:numPr>
              <w:rPr>
                <w:rFonts w:cs="Arial"/>
                <w:szCs w:val="24"/>
              </w:rPr>
            </w:pPr>
            <w:r w:rsidRPr="000B5B66">
              <w:rPr>
                <w:rFonts w:cs="Arial"/>
                <w:szCs w:val="24"/>
              </w:rPr>
              <w:t>A method to report and track expected outcomes</w:t>
            </w:r>
          </w:p>
          <w:p w:rsidR="008D6BA9" w:rsidRDefault="008D6BA9" w:rsidP="001B1B43">
            <w:pPr>
              <w:numPr>
                <w:ilvl w:val="0"/>
                <w:numId w:val="25"/>
              </w:numPr>
              <w:rPr>
                <w:rFonts w:cs="Arial"/>
                <w:szCs w:val="24"/>
              </w:rPr>
            </w:pPr>
            <w:r w:rsidRPr="000B5B66">
              <w:rPr>
                <w:rFonts w:cs="Arial"/>
                <w:szCs w:val="24"/>
              </w:rPr>
              <w:t>Monitoring of provider compliance with HHS Guidelines and the EMA/TGA’s approved Standards of Care</w:t>
            </w:r>
          </w:p>
          <w:p w:rsidR="008D6BA9" w:rsidRPr="000B5B66" w:rsidRDefault="008D6BA9" w:rsidP="008D6BA9">
            <w:pPr>
              <w:rPr>
                <w:rFonts w:cs="Arial"/>
                <w:szCs w:val="24"/>
              </w:rPr>
            </w:pPr>
            <w:r w:rsidRPr="000B5B66">
              <w:rPr>
                <w:rFonts w:cs="Arial"/>
                <w:szCs w:val="24"/>
              </w:rPr>
              <w:lastRenderedPageBreak/>
              <w:t>Network Service Providers are expected to:</w:t>
            </w:r>
          </w:p>
          <w:p w:rsidR="008D6BA9" w:rsidRDefault="008D6BA9" w:rsidP="001B1B43">
            <w:pPr>
              <w:numPr>
                <w:ilvl w:val="0"/>
                <w:numId w:val="26"/>
              </w:numPr>
              <w:rPr>
                <w:rFonts w:cs="Arial"/>
                <w:szCs w:val="24"/>
              </w:rPr>
            </w:pPr>
            <w:r w:rsidRPr="000B5B66">
              <w:rPr>
                <w:rFonts w:cs="Arial"/>
                <w:szCs w:val="24"/>
              </w:rPr>
              <w:t>Participate in quality management activities as contractually required; at a minimum:</w:t>
            </w:r>
          </w:p>
          <w:p w:rsidR="008D6BA9" w:rsidRDefault="008D6BA9" w:rsidP="001B1B43">
            <w:pPr>
              <w:numPr>
                <w:ilvl w:val="0"/>
                <w:numId w:val="26"/>
              </w:numPr>
              <w:rPr>
                <w:rFonts w:cs="Arial"/>
                <w:b/>
                <w:szCs w:val="24"/>
              </w:rPr>
            </w:pPr>
            <w:r w:rsidRPr="007262F8">
              <w:rPr>
                <w:rFonts w:cs="Arial"/>
                <w:szCs w:val="24"/>
              </w:rPr>
              <w:t>Compliance with relevant service category definitions and EMA standards of care Collection and reporting of data for use in measuring performance.</w:t>
            </w:r>
          </w:p>
        </w:tc>
      </w:tr>
    </w:tbl>
    <w:p w:rsidR="007262F8" w:rsidRDefault="007262F8" w:rsidP="001E469A">
      <w:pPr>
        <w:spacing w:after="0" w:line="240" w:lineRule="auto"/>
        <w:rPr>
          <w:rFonts w:ascii="Arial" w:hAnsi="Arial" w:cs="Arial"/>
          <w:sz w:val="24"/>
          <w:szCs w:val="24"/>
        </w:rPr>
      </w:pPr>
    </w:p>
    <w:tbl>
      <w:tblPr>
        <w:tblStyle w:val="TableGrid"/>
        <w:tblpPr w:leftFromText="180" w:rightFromText="180" w:vertAnchor="text" w:horzAnchor="margin" w:tblpY="129"/>
        <w:tblOverlap w:val="never"/>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176"/>
        <w:gridCol w:w="720"/>
        <w:gridCol w:w="3942"/>
      </w:tblGrid>
      <w:tr w:rsidR="009724C7" w:rsidRPr="001F30B2" w:rsidTr="00EF24E6">
        <w:tc>
          <w:tcPr>
            <w:tcW w:w="9558" w:type="dxa"/>
            <w:gridSpan w:val="4"/>
            <w:shd w:val="clear" w:color="auto" w:fill="17365D" w:themeFill="text2" w:themeFillShade="BF"/>
          </w:tcPr>
          <w:p w:rsidR="009724C7" w:rsidRPr="001F30B2" w:rsidRDefault="00EF24E6" w:rsidP="00EF24E6">
            <w:pPr>
              <w:pStyle w:val="Heading4"/>
              <w:spacing w:before="0"/>
              <w:outlineLvl w:val="3"/>
              <w:rPr>
                <w:bCs/>
              </w:rPr>
            </w:pPr>
            <w:r w:rsidRPr="00EF24E6">
              <w:rPr>
                <w:bCs/>
                <w:color w:val="FFFFFF" w:themeColor="background1"/>
                <w:sz w:val="28"/>
              </w:rPr>
              <w:t>8.</w:t>
            </w:r>
            <w:r w:rsidR="009724C7" w:rsidRPr="00EF24E6">
              <w:rPr>
                <w:bCs/>
                <w:color w:val="FFFFFF" w:themeColor="background1"/>
                <w:sz w:val="28"/>
              </w:rPr>
              <w:t>0 Data and Quality Management</w:t>
            </w:r>
          </w:p>
        </w:tc>
      </w:tr>
      <w:tr w:rsidR="00EF24E6" w:rsidRPr="001C7402" w:rsidTr="00EF24E6">
        <w:tc>
          <w:tcPr>
            <w:tcW w:w="4896" w:type="dxa"/>
            <w:gridSpan w:val="2"/>
            <w:vAlign w:val="center"/>
          </w:tcPr>
          <w:p w:rsidR="00EF24E6" w:rsidRPr="001C7402" w:rsidRDefault="00EF24E6" w:rsidP="00271BEE">
            <w:pPr>
              <w:jc w:val="center"/>
              <w:rPr>
                <w:b/>
                <w:bCs w:val="0"/>
                <w:sz w:val="28"/>
              </w:rPr>
            </w:pPr>
          </w:p>
        </w:tc>
        <w:tc>
          <w:tcPr>
            <w:tcW w:w="4662" w:type="dxa"/>
            <w:gridSpan w:val="2"/>
            <w:vAlign w:val="center"/>
          </w:tcPr>
          <w:p w:rsidR="00EF24E6" w:rsidRPr="001C7402" w:rsidRDefault="00EF24E6" w:rsidP="00271BEE">
            <w:pPr>
              <w:jc w:val="center"/>
              <w:rPr>
                <w:b/>
                <w:bCs w:val="0"/>
                <w:sz w:val="28"/>
              </w:rPr>
            </w:pPr>
          </w:p>
        </w:tc>
      </w:tr>
      <w:tr w:rsidR="009724C7" w:rsidRPr="001C7402" w:rsidTr="00EF24E6">
        <w:tc>
          <w:tcPr>
            <w:tcW w:w="4896" w:type="dxa"/>
            <w:gridSpan w:val="2"/>
            <w:tcBorders>
              <w:bottom w:val="single" w:sz="12" w:space="0" w:color="17365D" w:themeColor="text2" w:themeShade="BF"/>
              <w:right w:val="single" w:sz="12" w:space="0" w:color="17365D" w:themeColor="text2" w:themeShade="BF"/>
            </w:tcBorders>
            <w:vAlign w:val="center"/>
          </w:tcPr>
          <w:p w:rsidR="009724C7" w:rsidRPr="007D4104" w:rsidRDefault="009724C7" w:rsidP="00271BEE">
            <w:pPr>
              <w:jc w:val="center"/>
              <w:rPr>
                <w:rStyle w:val="BookTitle"/>
              </w:rPr>
            </w:pPr>
            <w:r w:rsidRPr="007D4104">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9724C7" w:rsidRPr="007D4104" w:rsidRDefault="009724C7" w:rsidP="00271BEE">
            <w:pPr>
              <w:jc w:val="center"/>
              <w:rPr>
                <w:rStyle w:val="BookTitle"/>
              </w:rPr>
            </w:pPr>
            <w:r w:rsidRPr="007D4104">
              <w:rPr>
                <w:rStyle w:val="BookTitle"/>
              </w:rPr>
              <w:t>Measures</w:t>
            </w:r>
          </w:p>
        </w:tc>
      </w:tr>
      <w:tr w:rsidR="009724C7" w:rsidRPr="007D4104" w:rsidTr="00271BEE">
        <w:tc>
          <w:tcPr>
            <w:tcW w:w="720" w:type="dxa"/>
            <w:tcBorders>
              <w:top w:val="single" w:sz="12" w:space="0" w:color="17365D" w:themeColor="text2" w:themeShade="BF"/>
              <w:bottom w:val="single" w:sz="12" w:space="0" w:color="17365D" w:themeColor="text2" w:themeShade="BF"/>
            </w:tcBorders>
          </w:tcPr>
          <w:p w:rsidR="009724C7" w:rsidRPr="007D4104" w:rsidRDefault="009724C7" w:rsidP="007D4104">
            <w:pPr>
              <w:rPr>
                <w:bCs w:val="0"/>
              </w:rPr>
            </w:pPr>
            <w:r w:rsidRPr="007D4104">
              <w:rPr>
                <w:bCs w:val="0"/>
              </w:rPr>
              <w:t>8.1</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7D4104" w:rsidRDefault="009724C7" w:rsidP="007D4104">
            <w:pPr>
              <w:rPr>
                <w:bCs w:val="0"/>
              </w:rPr>
            </w:pPr>
            <w:r w:rsidRPr="007D4104">
              <w:rPr>
                <w:rFonts w:cs="Arial"/>
                <w:szCs w:val="24"/>
              </w:rPr>
              <w:t>All eligibility documents must be scanned into the PE within 3 business days.</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7D4104" w:rsidRDefault="009724C7" w:rsidP="007D4104">
            <w:pPr>
              <w:rPr>
                <w:bCs w:val="0"/>
              </w:rPr>
            </w:pPr>
            <w:r w:rsidRPr="007D4104">
              <w:rPr>
                <w:bCs w:val="0"/>
              </w:rPr>
              <w:t>8.1</w:t>
            </w:r>
          </w:p>
        </w:tc>
        <w:tc>
          <w:tcPr>
            <w:tcW w:w="3942" w:type="dxa"/>
            <w:tcBorders>
              <w:top w:val="single" w:sz="12" w:space="0" w:color="17365D" w:themeColor="text2" w:themeShade="BF"/>
              <w:bottom w:val="single" w:sz="12" w:space="0" w:color="17365D" w:themeColor="text2" w:themeShade="BF"/>
            </w:tcBorders>
          </w:tcPr>
          <w:p w:rsidR="009724C7" w:rsidRPr="007D4104" w:rsidRDefault="009724C7" w:rsidP="007D4104">
            <w:pPr>
              <w:rPr>
                <w:rFonts w:cs="Arial"/>
                <w:szCs w:val="24"/>
              </w:rPr>
            </w:pPr>
            <w:r w:rsidRPr="007D4104">
              <w:rPr>
                <w:rFonts w:cs="Arial"/>
                <w:szCs w:val="24"/>
              </w:rPr>
              <w:t>Date stamp in the PE is no later than 3 business days after the date of eligibility determination.</w:t>
            </w:r>
          </w:p>
          <w:p w:rsidR="00E74196" w:rsidRPr="007D4104" w:rsidRDefault="00E74196" w:rsidP="007D4104"/>
        </w:tc>
      </w:tr>
      <w:tr w:rsidR="009724C7" w:rsidRPr="007D4104" w:rsidTr="00271BEE">
        <w:tc>
          <w:tcPr>
            <w:tcW w:w="720" w:type="dxa"/>
            <w:tcBorders>
              <w:top w:val="single" w:sz="12" w:space="0" w:color="17365D" w:themeColor="text2" w:themeShade="BF"/>
              <w:bottom w:val="single" w:sz="12" w:space="0" w:color="17365D" w:themeColor="text2" w:themeShade="BF"/>
            </w:tcBorders>
          </w:tcPr>
          <w:p w:rsidR="009724C7" w:rsidRPr="007D4104" w:rsidRDefault="009724C7" w:rsidP="007D4104">
            <w:pPr>
              <w:rPr>
                <w:bCs w:val="0"/>
              </w:rPr>
            </w:pPr>
            <w:r w:rsidRPr="007D4104">
              <w:rPr>
                <w:bCs w:val="0"/>
              </w:rPr>
              <w:t>8.2</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shd w:val="clear" w:color="auto" w:fill="auto"/>
          </w:tcPr>
          <w:p w:rsidR="009724C7" w:rsidRPr="007D4104" w:rsidRDefault="009724C7" w:rsidP="007D4104">
            <w:pPr>
              <w:rPr>
                <w:rFonts w:cs="Arial"/>
                <w:szCs w:val="24"/>
              </w:rPr>
            </w:pPr>
            <w:r w:rsidRPr="007D4104">
              <w:rPr>
                <w:rFonts w:cs="Arial"/>
                <w:szCs w:val="24"/>
              </w:rPr>
              <w:t>On-going Quality Assurance with regular   feedback to staff to promote performance   improvement and quality care. Quality Management issues shall be addressed through staff meetings.</w:t>
            </w:r>
          </w:p>
          <w:p w:rsidR="00EF24E6" w:rsidRPr="007D4104" w:rsidRDefault="00EF24E6" w:rsidP="007D4104">
            <w:pPr>
              <w:rPr>
                <w:bCs w:val="0"/>
                <w:highlight w:val="yellow"/>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shd w:val="clear" w:color="auto" w:fill="auto"/>
          </w:tcPr>
          <w:p w:rsidR="009724C7" w:rsidRPr="007D4104" w:rsidRDefault="009724C7" w:rsidP="007D4104">
            <w:pPr>
              <w:rPr>
                <w:bCs w:val="0"/>
                <w:highlight w:val="yellow"/>
              </w:rPr>
            </w:pPr>
            <w:r w:rsidRPr="007D4104">
              <w:rPr>
                <w:bCs w:val="0"/>
              </w:rPr>
              <w:t>8.2</w:t>
            </w:r>
          </w:p>
        </w:tc>
        <w:tc>
          <w:tcPr>
            <w:tcW w:w="3942" w:type="dxa"/>
            <w:tcBorders>
              <w:top w:val="single" w:sz="12" w:space="0" w:color="17365D" w:themeColor="text2" w:themeShade="BF"/>
              <w:bottom w:val="single" w:sz="12" w:space="0" w:color="17365D" w:themeColor="text2" w:themeShade="BF"/>
            </w:tcBorders>
          </w:tcPr>
          <w:p w:rsidR="009724C7" w:rsidRPr="007D4104" w:rsidRDefault="009724C7" w:rsidP="007D4104">
            <w:pPr>
              <w:rPr>
                <w:rFonts w:cs="Arial"/>
                <w:szCs w:val="24"/>
              </w:rPr>
            </w:pPr>
            <w:r w:rsidRPr="007D4104">
              <w:rPr>
                <w:rFonts w:cs="Arial"/>
                <w:szCs w:val="24"/>
              </w:rPr>
              <w:t>Documentation of at least quarterly Quality Management meetings recording attendance, date, subject matter, steps taken to resolve identified problems with times frames for resolution.</w:t>
            </w:r>
          </w:p>
          <w:p w:rsidR="00E74196" w:rsidRPr="007D4104" w:rsidRDefault="00E74196" w:rsidP="007D4104">
            <w:pPr>
              <w:rPr>
                <w:bCs w:val="0"/>
                <w:highlight w:val="yellow"/>
              </w:rPr>
            </w:pPr>
          </w:p>
        </w:tc>
      </w:tr>
      <w:tr w:rsidR="009724C7" w:rsidRPr="007D4104" w:rsidTr="00271BEE">
        <w:tc>
          <w:tcPr>
            <w:tcW w:w="720" w:type="dxa"/>
            <w:tcBorders>
              <w:top w:val="single" w:sz="12" w:space="0" w:color="17365D" w:themeColor="text2" w:themeShade="BF"/>
              <w:bottom w:val="single" w:sz="12" w:space="0" w:color="17365D" w:themeColor="text2" w:themeShade="BF"/>
            </w:tcBorders>
          </w:tcPr>
          <w:p w:rsidR="009724C7" w:rsidRPr="007D4104" w:rsidRDefault="009724C7" w:rsidP="007D4104">
            <w:pPr>
              <w:rPr>
                <w:bCs w:val="0"/>
              </w:rPr>
            </w:pPr>
            <w:r w:rsidRPr="007D4104">
              <w:rPr>
                <w:bCs w:val="0"/>
              </w:rPr>
              <w:t>8.3</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7D4104" w:rsidRDefault="009724C7" w:rsidP="007D4104">
            <w:pPr>
              <w:rPr>
                <w:bCs w:val="0"/>
              </w:rPr>
            </w:pPr>
            <w:r w:rsidRPr="007D4104">
              <w:rPr>
                <w:bCs w:val="0"/>
              </w:rPr>
              <w:t>Semi-Annual Consumer Satisfaction Surveys shall be conducted and results utilized as appropriate to improve service delivery.</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7D4104" w:rsidRDefault="009724C7" w:rsidP="007D4104">
            <w:pPr>
              <w:rPr>
                <w:bCs w:val="0"/>
              </w:rPr>
            </w:pPr>
            <w:r w:rsidRPr="007D4104">
              <w:rPr>
                <w:bCs w:val="0"/>
              </w:rPr>
              <w:t>8.3</w:t>
            </w:r>
          </w:p>
        </w:tc>
        <w:tc>
          <w:tcPr>
            <w:tcW w:w="3942" w:type="dxa"/>
            <w:tcBorders>
              <w:top w:val="single" w:sz="12" w:space="0" w:color="17365D" w:themeColor="text2" w:themeShade="BF"/>
              <w:bottom w:val="single" w:sz="12" w:space="0" w:color="17365D" w:themeColor="text2" w:themeShade="BF"/>
            </w:tcBorders>
          </w:tcPr>
          <w:p w:rsidR="009724C7" w:rsidRPr="007D4104" w:rsidRDefault="009724C7" w:rsidP="007D4104">
            <w:pPr>
              <w:rPr>
                <w:rFonts w:cs="Arial"/>
                <w:szCs w:val="24"/>
              </w:rPr>
            </w:pPr>
            <w:r w:rsidRPr="007D4104">
              <w:rPr>
                <w:rFonts w:cs="Arial"/>
                <w:szCs w:val="24"/>
              </w:rPr>
              <w:t>Consumer Satisfaction Surveys to include:</w:t>
            </w:r>
          </w:p>
          <w:p w:rsidR="009724C7" w:rsidRPr="007D4104" w:rsidRDefault="009724C7" w:rsidP="001B1B43">
            <w:pPr>
              <w:pStyle w:val="ListParagraph"/>
              <w:numPr>
                <w:ilvl w:val="0"/>
                <w:numId w:val="98"/>
              </w:numPr>
              <w:rPr>
                <w:rFonts w:cs="Arial"/>
                <w:szCs w:val="24"/>
              </w:rPr>
            </w:pPr>
            <w:r w:rsidRPr="007D4104">
              <w:rPr>
                <w:rFonts w:cs="Arial"/>
                <w:szCs w:val="24"/>
              </w:rPr>
              <w:t>Rating of services, perception of treatment by staff, satisfaction with services provided, fair access to services provided.</w:t>
            </w:r>
          </w:p>
          <w:p w:rsidR="009724C7" w:rsidRPr="007D4104" w:rsidRDefault="009724C7" w:rsidP="001B1B43">
            <w:pPr>
              <w:pStyle w:val="ListParagraph"/>
              <w:numPr>
                <w:ilvl w:val="0"/>
                <w:numId w:val="98"/>
              </w:numPr>
              <w:rPr>
                <w:rFonts w:cs="Arial"/>
                <w:szCs w:val="24"/>
              </w:rPr>
            </w:pPr>
            <w:r w:rsidRPr="007D4104">
              <w:rPr>
                <w:rFonts w:cs="Arial"/>
                <w:szCs w:val="24"/>
              </w:rPr>
              <w:t>Incorporate results from consumer satisfaction surveys into written goals and objectives</w:t>
            </w:r>
          </w:p>
          <w:p w:rsidR="00EF24E6" w:rsidRPr="007D4104" w:rsidRDefault="00EF24E6" w:rsidP="007D4104">
            <w:pPr>
              <w:pStyle w:val="ListParagraph"/>
              <w:ind w:left="360"/>
              <w:rPr>
                <w:rFonts w:cs="Arial"/>
                <w:szCs w:val="24"/>
              </w:rPr>
            </w:pPr>
          </w:p>
        </w:tc>
      </w:tr>
      <w:tr w:rsidR="00EF24E6" w:rsidRPr="007D4104" w:rsidTr="00271BEE">
        <w:tc>
          <w:tcPr>
            <w:tcW w:w="720" w:type="dxa"/>
            <w:tcBorders>
              <w:top w:val="single" w:sz="12" w:space="0" w:color="17365D" w:themeColor="text2" w:themeShade="BF"/>
              <w:bottom w:val="single" w:sz="12" w:space="0" w:color="17365D" w:themeColor="text2" w:themeShade="BF"/>
            </w:tcBorders>
          </w:tcPr>
          <w:p w:rsidR="00EF24E6" w:rsidRPr="007D4104" w:rsidRDefault="00EF24E6" w:rsidP="007D4104">
            <w:pPr>
              <w:rPr>
                <w:bCs w:val="0"/>
              </w:rPr>
            </w:pPr>
            <w:r w:rsidRPr="007D4104">
              <w:rPr>
                <w:bCs w:val="0"/>
              </w:rPr>
              <w:t>8.4</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E74196" w:rsidRPr="007D4104" w:rsidRDefault="00EF24E6" w:rsidP="007D4104">
            <w:pPr>
              <w:pStyle w:val="ListParagraph"/>
              <w:ind w:left="0"/>
            </w:pPr>
            <w:r w:rsidRPr="007D4104">
              <w:t>Assess the extent to which HIV health services provided to consumers are consistent with the most recent HHS Guidelines for the treatment of HIV/AIDS and related opportunistic infections.</w:t>
            </w:r>
          </w:p>
          <w:p w:rsidR="00EF24E6" w:rsidRPr="007D4104" w:rsidRDefault="00EF24E6" w:rsidP="007D4104">
            <w:pPr>
              <w:pStyle w:val="ListParagraph"/>
              <w:ind w:left="0"/>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EF24E6" w:rsidRPr="007D4104" w:rsidRDefault="00EF24E6" w:rsidP="007D4104">
            <w:pPr>
              <w:rPr>
                <w:bCs w:val="0"/>
              </w:rPr>
            </w:pPr>
            <w:r w:rsidRPr="007D4104">
              <w:rPr>
                <w:bCs w:val="0"/>
              </w:rPr>
              <w:t>8.4</w:t>
            </w:r>
          </w:p>
        </w:tc>
        <w:tc>
          <w:tcPr>
            <w:tcW w:w="3942" w:type="dxa"/>
            <w:tcBorders>
              <w:top w:val="single" w:sz="12" w:space="0" w:color="17365D" w:themeColor="text2" w:themeShade="BF"/>
              <w:bottom w:val="single" w:sz="12" w:space="0" w:color="17365D" w:themeColor="text2" w:themeShade="BF"/>
            </w:tcBorders>
          </w:tcPr>
          <w:p w:rsidR="00EF24E6" w:rsidRPr="007D4104" w:rsidRDefault="00EF24E6" w:rsidP="007D4104">
            <w:pPr>
              <w:pStyle w:val="ListParagraph"/>
              <w:ind w:left="0"/>
            </w:pPr>
            <w:r w:rsidRPr="007D4104">
              <w:t>Monitor CQM/HAB outcome measures</w:t>
            </w:r>
          </w:p>
        </w:tc>
      </w:tr>
      <w:tr w:rsidR="00EF24E6" w:rsidRPr="007D4104" w:rsidTr="00271BEE">
        <w:tc>
          <w:tcPr>
            <w:tcW w:w="720" w:type="dxa"/>
            <w:tcBorders>
              <w:top w:val="single" w:sz="12" w:space="0" w:color="17365D" w:themeColor="text2" w:themeShade="BF"/>
              <w:bottom w:val="single" w:sz="12" w:space="0" w:color="17365D" w:themeColor="text2" w:themeShade="BF"/>
            </w:tcBorders>
          </w:tcPr>
          <w:p w:rsidR="00EF24E6" w:rsidRPr="007D4104" w:rsidRDefault="00EF24E6" w:rsidP="007D4104">
            <w:pPr>
              <w:rPr>
                <w:bCs w:val="0"/>
              </w:rPr>
            </w:pPr>
            <w:r w:rsidRPr="007D4104">
              <w:rPr>
                <w:bCs w:val="0"/>
              </w:rPr>
              <w:t>8.5</w:t>
            </w:r>
          </w:p>
        </w:tc>
        <w:tc>
          <w:tcPr>
            <w:tcW w:w="4176" w:type="dxa"/>
            <w:tcBorders>
              <w:top w:val="single" w:sz="12" w:space="0" w:color="17365D" w:themeColor="text2" w:themeShade="BF"/>
              <w:bottom w:val="single" w:sz="12" w:space="0" w:color="17365D" w:themeColor="text2" w:themeShade="BF"/>
              <w:right w:val="single" w:sz="12" w:space="0" w:color="17365D" w:themeColor="text2" w:themeShade="BF"/>
            </w:tcBorders>
          </w:tcPr>
          <w:p w:rsidR="00EF24E6" w:rsidRPr="007D4104" w:rsidRDefault="00EF24E6" w:rsidP="007262F8">
            <w:pPr>
              <w:pStyle w:val="ListParagraph"/>
              <w:ind w:left="0"/>
            </w:pPr>
            <w:r w:rsidRPr="007D4104">
              <w:t>Quality Management Plan that includes quality expectations for providers and services, a method to report and track expected outcomes.</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EF24E6" w:rsidRPr="007D4104" w:rsidRDefault="00EF24E6" w:rsidP="007D4104">
            <w:pPr>
              <w:rPr>
                <w:bCs w:val="0"/>
              </w:rPr>
            </w:pPr>
            <w:r w:rsidRPr="007D4104">
              <w:rPr>
                <w:bCs w:val="0"/>
              </w:rPr>
              <w:t>8.5</w:t>
            </w:r>
          </w:p>
        </w:tc>
        <w:tc>
          <w:tcPr>
            <w:tcW w:w="3942" w:type="dxa"/>
            <w:tcBorders>
              <w:top w:val="single" w:sz="12" w:space="0" w:color="17365D" w:themeColor="text2" w:themeShade="BF"/>
              <w:bottom w:val="single" w:sz="12" w:space="0" w:color="17365D" w:themeColor="text2" w:themeShade="BF"/>
            </w:tcBorders>
          </w:tcPr>
          <w:p w:rsidR="00EF24E6" w:rsidRPr="007D4104" w:rsidRDefault="00EF24E6" w:rsidP="007D4104">
            <w:pPr>
              <w:pStyle w:val="ListParagraph"/>
              <w:ind w:left="0"/>
            </w:pPr>
            <w:r w:rsidRPr="007D4104">
              <w:t>Visit and review providers/sub recipients to monitor compliance with the Quality Management Plan.</w:t>
            </w:r>
          </w:p>
        </w:tc>
      </w:tr>
    </w:tbl>
    <w:p w:rsidR="001F46E0" w:rsidRDefault="001F46E0" w:rsidP="00454CB6">
      <w:pPr>
        <w:spacing w:after="0" w:line="240" w:lineRule="auto"/>
        <w:jc w:val="both"/>
        <w:rPr>
          <w:rFonts w:ascii="Arial" w:hAnsi="Arial" w:cs="Arial"/>
          <w:sz w:val="24"/>
        </w:rPr>
      </w:pPr>
    </w:p>
    <w:p w:rsidR="004953A3" w:rsidRDefault="004953A3" w:rsidP="00454CB6">
      <w:pPr>
        <w:spacing w:after="0" w:line="240" w:lineRule="auto"/>
        <w:jc w:val="both"/>
        <w:rPr>
          <w:rFonts w:ascii="Arial" w:hAnsi="Arial" w:cs="Arial"/>
          <w:sz w:val="24"/>
        </w:rPr>
        <w:sectPr w:rsidR="004953A3" w:rsidSect="00B26D67">
          <w:footerReference w:type="default" r:id="rId17"/>
          <w:footerReference w:type="first" r:id="rId18"/>
          <w:pgSz w:w="12240" w:h="15840" w:code="1"/>
          <w:pgMar w:top="1296" w:right="1440" w:bottom="1296" w:left="1440" w:header="720" w:footer="432" w:gutter="0"/>
          <w:cols w:space="720"/>
          <w:titlePg/>
          <w:docGrid w:linePitch="360"/>
        </w:sectPr>
      </w:pPr>
    </w:p>
    <w:p w:rsidR="007262F8" w:rsidRDefault="007262F8" w:rsidP="00454CB6">
      <w:pPr>
        <w:spacing w:after="0" w:line="240" w:lineRule="auto"/>
        <w:jc w:val="both"/>
        <w:rPr>
          <w:rFonts w:ascii="Arial" w:hAnsi="Arial" w:cs="Arial"/>
          <w:sz w:val="24"/>
        </w:rPr>
        <w:sectPr w:rsidR="007262F8" w:rsidSect="00B26D67">
          <w:footerReference w:type="first" r:id="rId19"/>
          <w:pgSz w:w="12240" w:h="15840" w:code="1"/>
          <w:pgMar w:top="1296" w:right="1440" w:bottom="1296" w:left="1440" w:header="720" w:footer="432" w:gutter="0"/>
          <w:cols w:space="720"/>
          <w:titlePg/>
          <w:docGrid w:linePitch="360"/>
        </w:sectPr>
      </w:pPr>
      <w:r w:rsidRPr="007262F8">
        <w:rPr>
          <w:rFonts w:ascii="Arial" w:eastAsia="Calibri" w:hAnsi="Arial" w:cs="Times New Roman"/>
          <w:bCs/>
          <w:noProof/>
          <w:sz w:val="24"/>
          <w:szCs w:val="20"/>
        </w:rPr>
        <w:lastRenderedPageBreak/>
        <mc:AlternateContent>
          <mc:Choice Requires="wps">
            <w:drawing>
              <wp:anchor distT="91440" distB="137160" distL="114300" distR="114300" simplePos="0" relativeHeight="251691008" behindDoc="0" locked="0" layoutInCell="0" allowOverlap="1" wp14:anchorId="309B0B4C" wp14:editId="470D1E7A">
                <wp:simplePos x="0" y="0"/>
                <wp:positionH relativeFrom="page">
                  <wp:posOffset>678180</wp:posOffset>
                </wp:positionH>
                <wp:positionV relativeFrom="page">
                  <wp:posOffset>4324350</wp:posOffset>
                </wp:positionV>
                <wp:extent cx="6734810" cy="1493520"/>
                <wp:effectExtent l="209550" t="209550" r="46990" b="4953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34810" cy="1493520"/>
                        </a:xfrm>
                        <a:prstGeom prst="rect">
                          <a:avLst/>
                        </a:prstGeom>
                        <a:gradFill rotWithShape="1">
                          <a:gsLst>
                            <a:gs pos="0">
                              <a:srgbClr val="002060"/>
                            </a:gs>
                            <a:gs pos="100000">
                              <a:srgbClr val="002060">
                                <a:gamma/>
                                <a:shade val="60000"/>
                                <a:invGamma/>
                              </a:srgbClr>
                            </a:gs>
                          </a:gsLst>
                          <a:path path="shape">
                            <a:fillToRect l="50000" t="50000" r="50000" b="50000"/>
                          </a:path>
                        </a:gradFill>
                        <a:ln w="9525" algn="ctr">
                          <a:miter lim="800000"/>
                          <a:headEnd/>
                          <a:tailEnd/>
                        </a:ln>
                        <a:effectLst/>
                        <a:scene3d>
                          <a:camera prst="legacyObliqueTopLeft"/>
                          <a:lightRig rig="legacyFlat3" dir="t"/>
                        </a:scene3d>
                        <a:sp3d extrusionH="430200" prstMaterial="legacyMatte">
                          <a:bevelT w="13500" h="13500" prst="angle"/>
                          <a:bevelB w="13500" h="13500" prst="angle"/>
                          <a:extrusionClr>
                            <a:srgbClr val="0070C0"/>
                          </a:extrusionClr>
                        </a:sp3d>
                        <a:extLst>
                          <a:ext uri="{AF507438-7753-43E0-B8FC-AC1667EBCBE1}">
                            <a14:hiddenEffects xmlns:a14="http://schemas.microsoft.com/office/drawing/2010/main">
                              <a:effectLst>
                                <a:outerShdw dist="1113790" dir="11340000" rotWithShape="0">
                                  <a:srgbClr val="F79646"/>
                                </a:outerShdw>
                              </a:effectLst>
                            </a14:hiddenEffects>
                          </a:ext>
                        </a:extLst>
                      </wps:spPr>
                      <wps:txbx>
                        <w:txbxContent>
                          <w:p w:rsidR="00DE64CF" w:rsidRPr="00FD2282" w:rsidRDefault="00DE64CF" w:rsidP="007262F8">
                            <w:pPr>
                              <w:pStyle w:val="Heading1"/>
                              <w:jc w:val="center"/>
                              <w:rPr>
                                <w:color w:val="FFFFFF" w:themeColor="background1"/>
                                <w:sz w:val="72"/>
                              </w:rPr>
                            </w:pPr>
                            <w:bookmarkStart w:id="17" w:name="_Toc489280866"/>
                            <w:r w:rsidRPr="00FD2282">
                              <w:rPr>
                                <w:color w:val="FFFFFF" w:themeColor="background1"/>
                                <w:sz w:val="72"/>
                              </w:rPr>
                              <w:t>Core Services</w:t>
                            </w:r>
                            <w:bookmarkEnd w:id="17"/>
                          </w:p>
                        </w:txbxContent>
                      </wps:txbx>
                      <wps:bodyPr rot="0" vert="horz" wrap="square" lIns="457200" tIns="91440" rIns="13716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53.4pt;margin-top:340.5pt;width:530.3pt;height:117.6pt;flip:x;z-index:251691008;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" o:allowincell="f" fillcolor="#002060">
                <v:fill color2="#00133a" rotate="t" focusposition=".5,.5" focussize="" focus="100%" type="gradientRadial"/>
                <v:shadow color="#f79646" origin=",.5" offset="-30.55769mm,-4.83986mm"/>
                <o:extrusion v:ext="view" color="#0070c0" on="t" viewpoint="-34.72222mm" viewpointorigin="-.5" skewangle="-45" lightposition="-50000" lightposition2="50000"/>
                <v:textbox inset="36pt,7.2pt,10.8pt,0">
                  <w:txbxContent>
                    <w:p w:rsidR="00DE64CF" w:rsidRPr="00FD2282" w:rsidRDefault="00DE64CF" w:rsidP="007262F8">
                      <w:pPr>
                        <w:pStyle w:val="Heading1"/>
                        <w:jc w:val="center"/>
                        <w:rPr>
                          <w:color w:val="FFFFFF" w:themeColor="background1"/>
                          <w:sz w:val="72"/>
                        </w:rPr>
                      </w:pPr>
                      <w:bookmarkStart w:id="18" w:name="_Toc489280866"/>
                      <w:r w:rsidRPr="00FD2282">
                        <w:rPr>
                          <w:color w:val="FFFFFF" w:themeColor="background1"/>
                          <w:sz w:val="72"/>
                        </w:rPr>
                        <w:t>Core Services</w:t>
                      </w:r>
                      <w:bookmarkEnd w:id="18"/>
                    </w:p>
                  </w:txbxContent>
                </v:textbox>
                <w10:wrap type="square" anchorx="page" anchory="page"/>
              </v:rect>
            </w:pict>
          </mc:Fallback>
        </mc:AlternateContent>
      </w:r>
    </w:p>
    <w:tbl>
      <w:tblPr>
        <w:tblStyle w:val="TableGrid"/>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624"/>
      </w:tblGrid>
      <w:tr w:rsidR="00B41322" w:rsidRPr="00304877" w:rsidTr="00F027A7">
        <w:trPr>
          <w:trHeight w:val="240"/>
        </w:trPr>
        <w:tc>
          <w:tcPr>
            <w:tcW w:w="9624" w:type="dxa"/>
            <w:shd w:val="clear" w:color="auto" w:fill="17365D" w:themeFill="text2" w:themeFillShade="BF"/>
            <w:vAlign w:val="center"/>
          </w:tcPr>
          <w:p w:rsidR="00B41322" w:rsidRPr="00304877" w:rsidRDefault="008B5CD7" w:rsidP="00EF24E6">
            <w:pPr>
              <w:pStyle w:val="Heading2"/>
              <w:spacing w:before="0"/>
              <w:jc w:val="center"/>
              <w:outlineLvl w:val="1"/>
              <w:rPr>
                <w:sz w:val="32"/>
              </w:rPr>
            </w:pPr>
            <w:bookmarkStart w:id="18" w:name="_Outpatient_Ambulatory_Medical"/>
            <w:bookmarkStart w:id="19" w:name="_Toc489280867"/>
            <w:bookmarkEnd w:id="18"/>
            <w:r w:rsidRPr="008B5CD7">
              <w:rPr>
                <w:color w:val="FFFFFF" w:themeColor="background1"/>
                <w:sz w:val="32"/>
              </w:rPr>
              <w:lastRenderedPageBreak/>
              <w:t>Outpatient Ambulatory Health Services (OAHS)</w:t>
            </w:r>
            <w:bookmarkEnd w:id="19"/>
          </w:p>
        </w:tc>
      </w:tr>
    </w:tbl>
    <w:p w:rsidR="00F027A7" w:rsidRDefault="00F027A7" w:rsidP="00F027A7">
      <w:pPr>
        <w:spacing w:after="0"/>
      </w:pPr>
    </w:p>
    <w:tbl>
      <w:tblPr>
        <w:tblStyle w:val="TableGrid"/>
        <w:tblW w:w="95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8D6BA9" w:rsidTr="00F027A7">
        <w:trPr>
          <w:trHeight w:val="12096"/>
        </w:trPr>
        <w:tc>
          <w:tcPr>
            <w:tcW w:w="9576" w:type="dxa"/>
            <w:tcBorders>
              <w:bottom w:val="single" w:sz="4" w:space="0" w:color="auto"/>
            </w:tcBorders>
          </w:tcPr>
          <w:p w:rsidR="008D6BA9" w:rsidRDefault="008D6BA9" w:rsidP="007262F8">
            <w:pPr>
              <w:rPr>
                <w:rFonts w:cs="Arial"/>
              </w:rPr>
            </w:pPr>
            <w:r w:rsidRPr="001C7402">
              <w:rPr>
                <w:rFonts w:cs="Arial"/>
                <w:b/>
              </w:rPr>
              <w:t>Definition:</w:t>
            </w:r>
            <w:r w:rsidRPr="001C7402">
              <w:rPr>
                <w:rFonts w:cs="Arial"/>
              </w:rPr>
              <w:t xml:space="preserve"> </w:t>
            </w:r>
          </w:p>
          <w:p w:rsidR="008D6BA9" w:rsidRPr="001C7402" w:rsidRDefault="008D6BA9" w:rsidP="008D6BA9">
            <w:pPr>
              <w:rPr>
                <w:rFonts w:cs="Arial"/>
              </w:rPr>
            </w:pPr>
            <w:r w:rsidRPr="001C7402">
              <w:rPr>
                <w:rFonts w:cs="Arial"/>
              </w:rPr>
              <w:t xml:space="preserve">Outpatient/Ambulatory Health Services are diagnostic and therapeutic services provided directly to a consumer by a licensed healthcare provider in an outpatient medical setting. Outpatient medical settings include clinics, medical offices, and mobile vans where consumers do not stay overnight. </w:t>
            </w:r>
          </w:p>
          <w:p w:rsidR="008D6BA9" w:rsidRPr="001C7402" w:rsidRDefault="008D6BA9" w:rsidP="008D6BA9">
            <w:pPr>
              <w:rPr>
                <w:rFonts w:cs="Arial"/>
              </w:rPr>
            </w:pPr>
          </w:p>
          <w:p w:rsidR="008D6BA9" w:rsidRDefault="008D6BA9" w:rsidP="008D6BA9">
            <w:pPr>
              <w:rPr>
                <w:rFonts w:cs="Arial"/>
              </w:rPr>
            </w:pPr>
            <w:r w:rsidRPr="001C7402">
              <w:rPr>
                <w:rFonts w:cs="Arial"/>
                <w:b/>
              </w:rPr>
              <w:t>Limitations:</w:t>
            </w:r>
            <w:r w:rsidRPr="001C7402">
              <w:rPr>
                <w:rFonts w:cs="Arial"/>
              </w:rPr>
              <w:t xml:space="preserve"> </w:t>
            </w:r>
          </w:p>
          <w:p w:rsidR="008D6BA9" w:rsidRPr="001C7402" w:rsidRDefault="008D6BA9" w:rsidP="008D6BA9">
            <w:pPr>
              <w:rPr>
                <w:rFonts w:cs="Arial"/>
              </w:rPr>
            </w:pPr>
            <w:r w:rsidRPr="001C7402">
              <w:rPr>
                <w:rFonts w:cs="Arial"/>
              </w:rPr>
              <w:t xml:space="preserve">Emergency room, nursing home facilities, or urgent care services are not considered outpatient settings. </w:t>
            </w:r>
          </w:p>
          <w:p w:rsidR="008D6BA9" w:rsidRPr="001C7402" w:rsidRDefault="008D6BA9" w:rsidP="008D6BA9">
            <w:pPr>
              <w:rPr>
                <w:rFonts w:cs="Arial"/>
              </w:rPr>
            </w:pPr>
          </w:p>
          <w:p w:rsidR="008D6BA9" w:rsidRPr="001C7402" w:rsidRDefault="008D6BA9" w:rsidP="008D6BA9">
            <w:pPr>
              <w:rPr>
                <w:rFonts w:cs="Arial"/>
              </w:rPr>
            </w:pPr>
            <w:r w:rsidRPr="001C7402">
              <w:rPr>
                <w:rFonts w:cs="Arial"/>
              </w:rPr>
              <w:t>Allowable activities include:</w:t>
            </w:r>
          </w:p>
          <w:p w:rsidR="008D6BA9" w:rsidRPr="001C7402" w:rsidRDefault="008D6BA9" w:rsidP="001B1B43">
            <w:pPr>
              <w:pStyle w:val="ListParagraph"/>
              <w:numPr>
                <w:ilvl w:val="0"/>
                <w:numId w:val="40"/>
              </w:numPr>
              <w:rPr>
                <w:rFonts w:cs="Arial"/>
              </w:rPr>
            </w:pPr>
            <w:r w:rsidRPr="001C7402">
              <w:rPr>
                <w:rFonts w:cs="Arial"/>
              </w:rPr>
              <w:t>Medical history taking</w:t>
            </w:r>
          </w:p>
          <w:p w:rsidR="008D6BA9" w:rsidRPr="001C7402" w:rsidRDefault="008D6BA9" w:rsidP="001B1B43">
            <w:pPr>
              <w:pStyle w:val="ListParagraph"/>
              <w:numPr>
                <w:ilvl w:val="0"/>
                <w:numId w:val="40"/>
              </w:numPr>
              <w:rPr>
                <w:rFonts w:cs="Arial"/>
              </w:rPr>
            </w:pPr>
            <w:r w:rsidRPr="001C7402">
              <w:rPr>
                <w:rFonts w:cs="Arial"/>
              </w:rPr>
              <w:t>Physical examination</w:t>
            </w:r>
          </w:p>
          <w:p w:rsidR="008D6BA9" w:rsidRPr="001C7402" w:rsidRDefault="008D6BA9" w:rsidP="001B1B43">
            <w:pPr>
              <w:pStyle w:val="ListParagraph"/>
              <w:numPr>
                <w:ilvl w:val="0"/>
                <w:numId w:val="40"/>
              </w:numPr>
              <w:rPr>
                <w:rFonts w:cs="Arial"/>
              </w:rPr>
            </w:pPr>
            <w:r w:rsidRPr="001C7402">
              <w:rPr>
                <w:rFonts w:cs="Arial"/>
              </w:rPr>
              <w:t>Diagnostic testing, including laboratory testing</w:t>
            </w:r>
          </w:p>
          <w:p w:rsidR="008D6BA9" w:rsidRPr="001C7402" w:rsidRDefault="008D6BA9" w:rsidP="001B1B43">
            <w:pPr>
              <w:pStyle w:val="ListParagraph"/>
              <w:numPr>
                <w:ilvl w:val="0"/>
                <w:numId w:val="40"/>
              </w:numPr>
              <w:rPr>
                <w:rFonts w:cs="Arial"/>
              </w:rPr>
            </w:pPr>
            <w:r w:rsidRPr="001C7402">
              <w:rPr>
                <w:rFonts w:cs="Arial"/>
              </w:rPr>
              <w:t>Treatment and management of physical and behavioral health conditions</w:t>
            </w:r>
          </w:p>
          <w:p w:rsidR="008D6BA9" w:rsidRPr="001C7402" w:rsidRDefault="008D6BA9" w:rsidP="001B1B43">
            <w:pPr>
              <w:pStyle w:val="ListParagraph"/>
              <w:numPr>
                <w:ilvl w:val="0"/>
                <w:numId w:val="40"/>
              </w:numPr>
              <w:rPr>
                <w:rFonts w:cs="Arial"/>
              </w:rPr>
            </w:pPr>
            <w:r w:rsidRPr="001C7402">
              <w:rPr>
                <w:rFonts w:cs="Arial"/>
              </w:rPr>
              <w:t>Behavioral risk assessment, subsequent counseling, and referral</w:t>
            </w:r>
          </w:p>
          <w:p w:rsidR="008D6BA9" w:rsidRPr="001C7402" w:rsidRDefault="008D6BA9" w:rsidP="001B1B43">
            <w:pPr>
              <w:pStyle w:val="ListParagraph"/>
              <w:numPr>
                <w:ilvl w:val="0"/>
                <w:numId w:val="40"/>
              </w:numPr>
              <w:rPr>
                <w:rFonts w:cs="Arial"/>
              </w:rPr>
            </w:pPr>
            <w:r w:rsidRPr="001C7402">
              <w:rPr>
                <w:rFonts w:cs="Arial"/>
              </w:rPr>
              <w:t>Preventive care and screening</w:t>
            </w:r>
          </w:p>
          <w:p w:rsidR="008D6BA9" w:rsidRPr="001C7402" w:rsidRDefault="008D6BA9" w:rsidP="001B1B43">
            <w:pPr>
              <w:pStyle w:val="ListParagraph"/>
              <w:numPr>
                <w:ilvl w:val="0"/>
                <w:numId w:val="40"/>
              </w:numPr>
              <w:rPr>
                <w:rFonts w:cs="Arial"/>
              </w:rPr>
            </w:pPr>
            <w:r w:rsidRPr="001C7402">
              <w:rPr>
                <w:rFonts w:cs="Arial"/>
              </w:rPr>
              <w:t>Pediatric developmental assessment</w:t>
            </w:r>
          </w:p>
          <w:p w:rsidR="008D6BA9" w:rsidRPr="001C7402" w:rsidRDefault="008D6BA9" w:rsidP="001B1B43">
            <w:pPr>
              <w:pStyle w:val="ListParagraph"/>
              <w:numPr>
                <w:ilvl w:val="0"/>
                <w:numId w:val="40"/>
              </w:numPr>
              <w:rPr>
                <w:rFonts w:cs="Arial"/>
              </w:rPr>
            </w:pPr>
            <w:r w:rsidRPr="001C7402">
              <w:rPr>
                <w:rFonts w:cs="Arial"/>
              </w:rPr>
              <w:t>Prescription, and management of medication therapy</w:t>
            </w:r>
          </w:p>
          <w:p w:rsidR="008D6BA9" w:rsidRPr="001C7402" w:rsidRDefault="008D6BA9" w:rsidP="001B1B43">
            <w:pPr>
              <w:pStyle w:val="ListParagraph"/>
              <w:numPr>
                <w:ilvl w:val="0"/>
                <w:numId w:val="40"/>
              </w:numPr>
              <w:rPr>
                <w:rFonts w:cs="Arial"/>
              </w:rPr>
            </w:pPr>
            <w:r w:rsidRPr="001C7402">
              <w:rPr>
                <w:rFonts w:cs="Arial"/>
              </w:rPr>
              <w:t>Treatment adherence</w:t>
            </w:r>
          </w:p>
          <w:p w:rsidR="008D6BA9" w:rsidRPr="001C7402" w:rsidRDefault="008D6BA9" w:rsidP="001B1B43">
            <w:pPr>
              <w:pStyle w:val="ListParagraph"/>
              <w:numPr>
                <w:ilvl w:val="0"/>
                <w:numId w:val="40"/>
              </w:numPr>
              <w:rPr>
                <w:rFonts w:cs="Arial"/>
              </w:rPr>
            </w:pPr>
            <w:r w:rsidRPr="001C7402">
              <w:rPr>
                <w:rFonts w:cs="Arial"/>
              </w:rPr>
              <w:t>Education and counseling on health and prevention issues</w:t>
            </w:r>
          </w:p>
          <w:p w:rsidR="008D6BA9" w:rsidRPr="001C7402" w:rsidRDefault="008D6BA9" w:rsidP="001B1B43">
            <w:pPr>
              <w:pStyle w:val="ListParagraph"/>
              <w:numPr>
                <w:ilvl w:val="0"/>
                <w:numId w:val="40"/>
              </w:numPr>
              <w:rPr>
                <w:rFonts w:cs="Arial"/>
              </w:rPr>
            </w:pPr>
            <w:r w:rsidRPr="001C7402">
              <w:rPr>
                <w:rFonts w:cs="Arial"/>
              </w:rPr>
              <w:t>Referral to and provision of specialty care related to HIV diagnosis</w:t>
            </w:r>
          </w:p>
          <w:p w:rsidR="008D6BA9" w:rsidRPr="001C7402" w:rsidRDefault="008D6BA9" w:rsidP="008D6BA9">
            <w:pPr>
              <w:rPr>
                <w:rFonts w:cs="Arial"/>
              </w:rPr>
            </w:pPr>
          </w:p>
          <w:p w:rsidR="008D6BA9" w:rsidRPr="001C7402" w:rsidRDefault="008D6BA9" w:rsidP="008D6BA9">
            <w:pPr>
              <w:rPr>
                <w:rFonts w:cs="Arial"/>
              </w:rPr>
            </w:pPr>
            <w:r w:rsidRPr="001C7402">
              <w:rPr>
                <w:rFonts w:cs="Arial"/>
              </w:rPr>
              <w:t>Care must include access to antiretroviral and other drug therapies, including prophylaxis and treatment of opportunistic infections and combination antiretroviral therapies.</w:t>
            </w:r>
          </w:p>
          <w:p w:rsidR="008D6BA9" w:rsidRPr="001C7402" w:rsidRDefault="008D6BA9" w:rsidP="008D6BA9">
            <w:pPr>
              <w:rPr>
                <w:rFonts w:cs="Arial"/>
              </w:rPr>
            </w:pPr>
          </w:p>
          <w:p w:rsidR="008D6BA9" w:rsidRPr="001C7402" w:rsidRDefault="008D6BA9" w:rsidP="008D6BA9">
            <w:pPr>
              <w:rPr>
                <w:rFonts w:cs="Arial"/>
              </w:rPr>
            </w:pPr>
            <w:r w:rsidRPr="001C7402">
              <w:rPr>
                <w:rFonts w:cs="Arial"/>
                <w:b/>
              </w:rPr>
              <w:t xml:space="preserve">Diagnostic Laboratory Testing </w:t>
            </w:r>
            <w:r w:rsidRPr="001C7402">
              <w:rPr>
                <w:rFonts w:cs="Arial"/>
              </w:rPr>
              <w:t>includes all indicated medical diagnostic testing including all tests considered integral to the treatment of HIV and related complications (e.g. Viral Load, CD4 counts/percentage, and genotype assays). Funded tests must meet the following conditions:</w:t>
            </w:r>
          </w:p>
          <w:p w:rsidR="008D6BA9" w:rsidRPr="001C7402" w:rsidRDefault="008D6BA9" w:rsidP="001B1B43">
            <w:pPr>
              <w:numPr>
                <w:ilvl w:val="0"/>
                <w:numId w:val="37"/>
              </w:numPr>
              <w:rPr>
                <w:rFonts w:cs="Arial"/>
              </w:rPr>
            </w:pPr>
            <w:r w:rsidRPr="001C7402">
              <w:rPr>
                <w:rFonts w:cs="Arial"/>
              </w:rPr>
              <w:t>Tests must be consistent with medical and laboratory standards as established by scientific evidence and supported by professional panels, associations, or organizations.</w:t>
            </w:r>
          </w:p>
          <w:p w:rsidR="008D6BA9" w:rsidRPr="001C7402" w:rsidRDefault="008D6BA9" w:rsidP="001B1B43">
            <w:pPr>
              <w:numPr>
                <w:ilvl w:val="0"/>
                <w:numId w:val="37"/>
              </w:numPr>
              <w:rPr>
                <w:rFonts w:cs="Arial"/>
              </w:rPr>
            </w:pPr>
            <w:r w:rsidRPr="001C7402">
              <w:rPr>
                <w:rFonts w:cs="Arial"/>
              </w:rPr>
              <w:t>Tests must be approved by the FDA, when required under the FDA Medical Devices Act and/or performed in an approval Clinical Laboratory Improvement Amendments of 1988 (CLIA) certified laboratory or State exempt laboratory.</w:t>
            </w:r>
          </w:p>
          <w:p w:rsidR="008D6BA9" w:rsidRPr="001C7402" w:rsidRDefault="008D6BA9" w:rsidP="001B1B43">
            <w:pPr>
              <w:numPr>
                <w:ilvl w:val="0"/>
                <w:numId w:val="37"/>
              </w:numPr>
              <w:rPr>
                <w:rFonts w:cs="Arial"/>
              </w:rPr>
            </w:pPr>
            <w:r w:rsidRPr="001C7402">
              <w:rPr>
                <w:rFonts w:cs="Arial"/>
              </w:rPr>
              <w:t>Tests must be ordered by a registered, certified or licensed medical provider and necessary and appropriated based on established clinical practice standards and professional clinical judgment.</w:t>
            </w:r>
          </w:p>
          <w:p w:rsidR="008D6BA9" w:rsidRPr="001C7402" w:rsidRDefault="008D6BA9" w:rsidP="008D6BA9">
            <w:pPr>
              <w:rPr>
                <w:rFonts w:cs="Arial"/>
                <w:b/>
              </w:rPr>
            </w:pPr>
          </w:p>
          <w:p w:rsidR="008D6BA9" w:rsidRDefault="008D6BA9" w:rsidP="008D6BA9">
            <w:pPr>
              <w:rPr>
                <w:rFonts w:cs="Arial"/>
              </w:rPr>
            </w:pPr>
            <w:r w:rsidRPr="001C7402">
              <w:rPr>
                <w:rFonts w:cs="Arial"/>
                <w:b/>
              </w:rPr>
              <w:t>Eligibility</w:t>
            </w:r>
            <w:r w:rsidRPr="001C7402">
              <w:rPr>
                <w:rFonts w:cs="Arial"/>
              </w:rPr>
              <w:t xml:space="preserve">: </w:t>
            </w:r>
          </w:p>
          <w:p w:rsidR="008D6BA9" w:rsidRDefault="008D6BA9" w:rsidP="008D6BA9">
            <w:pPr>
              <w:rPr>
                <w:rFonts w:cs="Arial"/>
                <w:b/>
              </w:rPr>
            </w:pPr>
            <w:r w:rsidRPr="001C7402">
              <w:rPr>
                <w:rFonts w:cs="Arial"/>
              </w:rPr>
              <w:t>Consumers shall meet eligibility requirements as defined in the System-Wide Service Standards.</w:t>
            </w:r>
          </w:p>
        </w:tc>
      </w:tr>
      <w:tr w:rsidR="00F027A7" w:rsidTr="00F027A7">
        <w:tblPrEx>
          <w:tblBorders>
            <w:top w:val="single" w:sz="4" w:space="0" w:color="auto"/>
            <w:left w:val="single" w:sz="4" w:space="0" w:color="auto"/>
            <w:bottom w:val="single" w:sz="4" w:space="0" w:color="auto"/>
            <w:right w:val="single" w:sz="4" w:space="0" w:color="auto"/>
          </w:tblBorders>
        </w:tblPrEx>
        <w:tc>
          <w:tcPr>
            <w:tcW w:w="9576" w:type="dxa"/>
            <w:tcBorders>
              <w:top w:val="single" w:sz="4" w:space="0" w:color="auto"/>
              <w:left w:val="nil"/>
              <w:bottom w:val="single" w:sz="4" w:space="0" w:color="auto"/>
              <w:right w:val="nil"/>
            </w:tcBorders>
          </w:tcPr>
          <w:p w:rsidR="00F027A7" w:rsidRDefault="00F027A7" w:rsidP="00F027A7">
            <w:pPr>
              <w:pStyle w:val="Heading3"/>
              <w:spacing w:before="0"/>
              <w:outlineLvl w:val="2"/>
            </w:pPr>
            <w:bookmarkStart w:id="20" w:name="_Toc489280868"/>
            <w:r w:rsidRPr="00F027A7">
              <w:rPr>
                <w:rFonts w:eastAsia="Calibri"/>
                <w:sz w:val="28"/>
              </w:rPr>
              <w:lastRenderedPageBreak/>
              <w:t>1.0 Treatment Guideline Standards and Performance Measures</w:t>
            </w:r>
            <w:bookmarkEnd w:id="20"/>
          </w:p>
        </w:tc>
      </w:tr>
    </w:tbl>
    <w:p w:rsidR="005B5885" w:rsidRDefault="005B5885" w:rsidP="005B5885">
      <w:pPr>
        <w:spacing w:after="0"/>
      </w:pPr>
    </w:p>
    <w:tbl>
      <w:tblPr>
        <w:tblStyle w:val="TableGrid"/>
        <w:tblW w:w="9576" w:type="dxa"/>
        <w:tblLook w:val="04A0" w:firstRow="1" w:lastRow="0" w:firstColumn="1" w:lastColumn="0" w:noHBand="0" w:noVBand="1"/>
      </w:tblPr>
      <w:tblGrid>
        <w:gridCol w:w="9576"/>
      </w:tblGrid>
      <w:tr w:rsidR="008D6BA9" w:rsidTr="007262F8">
        <w:tc>
          <w:tcPr>
            <w:tcW w:w="9576" w:type="dxa"/>
            <w:tcBorders>
              <w:top w:val="nil"/>
              <w:left w:val="nil"/>
              <w:bottom w:val="nil"/>
              <w:right w:val="nil"/>
            </w:tcBorders>
          </w:tcPr>
          <w:p w:rsidR="008D6BA9" w:rsidRDefault="008D6BA9" w:rsidP="005B5885">
            <w:pPr>
              <w:rPr>
                <w:rFonts w:cs="Arial"/>
              </w:rPr>
            </w:pPr>
            <w:r w:rsidRPr="001C7402">
              <w:rPr>
                <w:rFonts w:cs="Arial"/>
              </w:rPr>
              <w:t>The agencies shall ensure compliance with the most current U.S. Department of Health and Human Services (HHS), Health Resources and Services Administration (HRSA), Guide for HIV/AIDS Clinical Care – 2014 Edition as cited in the following standards.</w:t>
            </w:r>
          </w:p>
        </w:tc>
      </w:tr>
    </w:tbl>
    <w:p w:rsidR="008D6BA9" w:rsidRDefault="008D6BA9" w:rsidP="001C7402">
      <w:pPr>
        <w:spacing w:after="0" w:line="240" w:lineRule="auto"/>
        <w:jc w:val="both"/>
        <w:rPr>
          <w:rFonts w:ascii="Arial" w:eastAsia="Calibri" w:hAnsi="Arial" w:cs="Arial"/>
          <w:sz w:val="24"/>
        </w:rPr>
      </w:pPr>
    </w:p>
    <w:tbl>
      <w:tblPr>
        <w:tblW w:w="9558" w:type="dxa"/>
        <w:tblLayout w:type="fixed"/>
        <w:tblLook w:val="04A0" w:firstRow="1" w:lastRow="0" w:firstColumn="1" w:lastColumn="0" w:noHBand="0" w:noVBand="1"/>
      </w:tblPr>
      <w:tblGrid>
        <w:gridCol w:w="720"/>
        <w:gridCol w:w="4068"/>
        <w:gridCol w:w="720"/>
        <w:gridCol w:w="90"/>
        <w:gridCol w:w="3960"/>
      </w:tblGrid>
      <w:tr w:rsidR="001C7402" w:rsidRPr="001C7402" w:rsidTr="00FD2282">
        <w:tc>
          <w:tcPr>
            <w:tcW w:w="9558" w:type="dxa"/>
            <w:gridSpan w:val="5"/>
            <w:shd w:val="clear" w:color="auto" w:fill="17365D"/>
          </w:tcPr>
          <w:p w:rsidR="001C7402" w:rsidRPr="001C7402" w:rsidRDefault="001C7402" w:rsidP="00FD2282">
            <w:pPr>
              <w:pStyle w:val="Heading4"/>
              <w:spacing w:before="0"/>
              <w:rPr>
                <w:rFonts w:eastAsia="Calibri"/>
              </w:rPr>
            </w:pPr>
            <w:r w:rsidRPr="000D1F19">
              <w:rPr>
                <w:rFonts w:eastAsia="Calibri"/>
                <w:color w:val="FFFFFF" w:themeColor="background1"/>
                <w:sz w:val="28"/>
              </w:rPr>
              <w:t>1.0 Treatment Guideline Standards and Performance Measures</w:t>
            </w:r>
          </w:p>
        </w:tc>
      </w:tr>
      <w:tr w:rsidR="00FD2282" w:rsidRPr="001C7402" w:rsidTr="00FD2282">
        <w:tc>
          <w:tcPr>
            <w:tcW w:w="4788" w:type="dxa"/>
            <w:gridSpan w:val="2"/>
            <w:shd w:val="clear" w:color="auto" w:fill="auto"/>
            <w:vAlign w:val="center"/>
          </w:tcPr>
          <w:p w:rsidR="00FD2282" w:rsidRPr="001C7402" w:rsidRDefault="00FD2282" w:rsidP="001C7402">
            <w:pPr>
              <w:spacing w:after="0" w:line="240" w:lineRule="auto"/>
              <w:jc w:val="center"/>
              <w:rPr>
                <w:rFonts w:ascii="Arial" w:eastAsia="Calibri" w:hAnsi="Arial" w:cs="Arial"/>
                <w:b/>
                <w:sz w:val="28"/>
                <w:szCs w:val="28"/>
              </w:rPr>
            </w:pPr>
          </w:p>
        </w:tc>
        <w:tc>
          <w:tcPr>
            <w:tcW w:w="4770" w:type="dxa"/>
            <w:gridSpan w:val="3"/>
            <w:shd w:val="clear" w:color="auto" w:fill="auto"/>
            <w:vAlign w:val="center"/>
          </w:tcPr>
          <w:p w:rsidR="00FD2282" w:rsidRPr="001C7402" w:rsidRDefault="00FD2282" w:rsidP="001C7402">
            <w:pPr>
              <w:spacing w:after="0" w:line="240" w:lineRule="auto"/>
              <w:jc w:val="center"/>
              <w:rPr>
                <w:rFonts w:ascii="Arial" w:eastAsia="Calibri" w:hAnsi="Arial" w:cs="Arial"/>
                <w:b/>
                <w:sz w:val="28"/>
                <w:szCs w:val="28"/>
              </w:rPr>
            </w:pPr>
          </w:p>
        </w:tc>
      </w:tr>
      <w:tr w:rsidR="001C7402" w:rsidRPr="001C7402" w:rsidTr="00FD2282">
        <w:tc>
          <w:tcPr>
            <w:tcW w:w="4788" w:type="dxa"/>
            <w:gridSpan w:val="2"/>
            <w:tcBorders>
              <w:bottom w:val="single" w:sz="12" w:space="0" w:color="17365D"/>
              <w:right w:val="single" w:sz="12" w:space="0" w:color="17365D"/>
            </w:tcBorders>
            <w:shd w:val="clear" w:color="auto" w:fill="auto"/>
            <w:vAlign w:val="center"/>
          </w:tcPr>
          <w:p w:rsidR="001C7402" w:rsidRPr="007D4104" w:rsidRDefault="001C7402" w:rsidP="001C7402">
            <w:pPr>
              <w:spacing w:after="0" w:line="240" w:lineRule="auto"/>
              <w:jc w:val="center"/>
              <w:rPr>
                <w:rStyle w:val="BookTitle"/>
              </w:rPr>
            </w:pPr>
            <w:r w:rsidRPr="007D4104">
              <w:rPr>
                <w:rStyle w:val="BookTitle"/>
              </w:rPr>
              <w:t>Standards</w:t>
            </w:r>
          </w:p>
        </w:tc>
        <w:tc>
          <w:tcPr>
            <w:tcW w:w="4770" w:type="dxa"/>
            <w:gridSpan w:val="3"/>
            <w:tcBorders>
              <w:left w:val="single" w:sz="12" w:space="0" w:color="17365D"/>
              <w:bottom w:val="single" w:sz="12" w:space="0" w:color="17365D"/>
            </w:tcBorders>
            <w:shd w:val="clear" w:color="auto" w:fill="auto"/>
            <w:vAlign w:val="center"/>
          </w:tcPr>
          <w:p w:rsidR="001C7402" w:rsidRPr="007D4104" w:rsidRDefault="001C7402" w:rsidP="001C7402">
            <w:pPr>
              <w:spacing w:after="0" w:line="240" w:lineRule="auto"/>
              <w:jc w:val="center"/>
              <w:rPr>
                <w:rStyle w:val="BookTitle"/>
              </w:rPr>
            </w:pPr>
            <w:r w:rsidRPr="007D4104">
              <w:rPr>
                <w:rStyle w:val="BookTitle"/>
              </w:rPr>
              <w:t>Performance Measures</w:t>
            </w:r>
          </w:p>
        </w:tc>
      </w:tr>
      <w:tr w:rsidR="001C7402" w:rsidRPr="001C7402" w:rsidTr="007D4104">
        <w:trPr>
          <w:trHeight w:val="2724"/>
        </w:trPr>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1.a</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Times New Roman" w:hAnsi="Arial" w:cs="Arial"/>
                <w:bCs/>
                <w:sz w:val="24"/>
                <w:szCs w:val="24"/>
              </w:rPr>
            </w:pPr>
            <w:r w:rsidRPr="007D4104">
              <w:rPr>
                <w:rFonts w:ascii="Arial" w:eastAsia="Times New Roman" w:hAnsi="Arial" w:cs="Arial"/>
                <w:b/>
                <w:bCs/>
                <w:sz w:val="24"/>
                <w:szCs w:val="24"/>
              </w:rPr>
              <w:t>Medical Evaluation/Assessment</w:t>
            </w:r>
            <w:r w:rsidRPr="007D4104">
              <w:rPr>
                <w:rFonts w:ascii="Arial" w:eastAsia="Times New Roman" w:hAnsi="Arial" w:cs="Arial"/>
                <w:bCs/>
                <w:sz w:val="24"/>
                <w:szCs w:val="24"/>
              </w:rPr>
              <w:t>: HIV+ clients accessing primary medical care will have a completed comprehensive medical evaluation/assessment and physical examination that adheres to the current HHS treatment guidelines.</w:t>
            </w:r>
          </w:p>
          <w:p w:rsidR="001C7402" w:rsidRPr="007D4104" w:rsidRDefault="001C7402" w:rsidP="007D4104">
            <w:pPr>
              <w:spacing w:after="0" w:line="240" w:lineRule="auto"/>
              <w:jc w:val="both"/>
              <w:rPr>
                <w:rFonts w:ascii="Arial" w:eastAsia="Times New Roman" w:hAnsi="Arial" w:cs="Arial"/>
                <w:bCs/>
                <w:sz w:val="24"/>
                <w:szCs w:val="24"/>
              </w:rPr>
            </w:pPr>
            <w:r w:rsidRPr="007D4104" w:rsidDel="006C3BF6">
              <w:rPr>
                <w:rFonts w:ascii="Arial" w:eastAsia="Times New Roman" w:hAnsi="Arial" w:cs="Arial"/>
                <w:bCs/>
                <w:sz w:val="24"/>
                <w:szCs w:val="24"/>
              </w:rPr>
              <w:t xml:space="preserve"> </w:t>
            </w:r>
          </w:p>
          <w:p w:rsidR="001C7402" w:rsidRPr="007D4104" w:rsidRDefault="001C7402" w:rsidP="007D4104">
            <w:pPr>
              <w:spacing w:after="0" w:line="240" w:lineRule="auto"/>
              <w:rPr>
                <w:rFonts w:ascii="Arial" w:eastAsia="Times New Roman" w:hAnsi="Arial" w:cs="Arial"/>
                <w:bCs/>
              </w:rPr>
            </w:pPr>
            <w:r w:rsidRPr="007D4104">
              <w:rPr>
                <w:rFonts w:ascii="Arial" w:eastAsia="Times New Roman" w:hAnsi="Arial" w:cs="Arial"/>
                <w:b/>
                <w:bCs/>
                <w:i/>
              </w:rPr>
              <w:t xml:space="preserve">Source </w:t>
            </w:r>
            <w:r w:rsidRPr="007D4104">
              <w:rPr>
                <w:rFonts w:ascii="Arial" w:eastAsia="Times New Roman" w:hAnsi="Arial" w:cs="Arial"/>
                <w:bCs/>
              </w:rPr>
              <w:t>Citation: page 61,</w:t>
            </w:r>
            <w:r w:rsidRPr="007D4104">
              <w:rPr>
                <w:rFonts w:ascii="Arial" w:eastAsia="Calibri" w:hAnsi="Arial" w:cs="Arial"/>
                <w:color w:val="000000"/>
              </w:rPr>
              <w:t xml:space="preserve"> </w:t>
            </w:r>
            <w:hyperlink r:id="rId20" w:history="1">
              <w:r w:rsidRPr="007D4104">
                <w:rPr>
                  <w:rFonts w:ascii="Arial" w:eastAsia="Calibri" w:hAnsi="Arial" w:cs="Arial"/>
                  <w:color w:val="0000FF"/>
                  <w:u w:val="single"/>
                </w:rPr>
                <w:t>https://hab.hrsa.gov/sites/default/files/hab/clinical-quality-management/2014guide.pdf</w:t>
              </w:r>
            </w:hyperlink>
            <w:r w:rsidRPr="007D4104">
              <w:rPr>
                <w:rFonts w:ascii="Arial" w:eastAsia="Times New Roman" w:hAnsi="Arial" w:cs="Arial"/>
                <w:bCs/>
              </w:rPr>
              <w:t xml:space="preserve"> </w:t>
            </w:r>
          </w:p>
          <w:p w:rsidR="009724C7" w:rsidRPr="007D4104" w:rsidRDefault="009724C7" w:rsidP="007D4104">
            <w:pPr>
              <w:spacing w:after="0" w:line="240" w:lineRule="auto"/>
              <w:jc w:val="both"/>
              <w:rPr>
                <w:rFonts w:ascii="Arial" w:eastAsia="Calibri" w:hAnsi="Arial" w:cs="Arial"/>
                <w:bCs/>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1.a.</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Cs/>
                <w:sz w:val="24"/>
                <w:szCs w:val="24"/>
              </w:rPr>
            </w:pPr>
            <w:r w:rsidRPr="007D4104">
              <w:rPr>
                <w:rFonts w:ascii="Arial" w:eastAsia="Calibri" w:hAnsi="Arial" w:cs="Arial"/>
                <w:bCs/>
                <w:sz w:val="24"/>
                <w:szCs w:val="24"/>
              </w:rPr>
              <w:t>Written documentation in Consumer’s record of the following:</w:t>
            </w:r>
          </w:p>
          <w:p w:rsidR="001C7402" w:rsidRPr="007D4104" w:rsidRDefault="001C7402" w:rsidP="007D4104">
            <w:pPr>
              <w:spacing w:after="0" w:line="240" w:lineRule="auto"/>
              <w:jc w:val="both"/>
              <w:rPr>
                <w:rFonts w:ascii="Arial" w:eastAsia="Calibri" w:hAnsi="Arial" w:cs="Arial"/>
                <w:bCs/>
                <w:sz w:val="24"/>
                <w:szCs w:val="24"/>
              </w:rPr>
            </w:pPr>
          </w:p>
          <w:p w:rsidR="001C7402" w:rsidRDefault="001C7402" w:rsidP="007D4104">
            <w:pPr>
              <w:spacing w:after="0" w:line="240" w:lineRule="auto"/>
              <w:jc w:val="both"/>
              <w:rPr>
                <w:rFonts w:ascii="Arial" w:eastAsia="Calibri" w:hAnsi="Arial" w:cs="Arial"/>
                <w:b/>
                <w:i/>
                <w:color w:val="FF0000"/>
                <w:sz w:val="24"/>
                <w:szCs w:val="24"/>
              </w:rPr>
            </w:pPr>
            <w:r w:rsidRPr="007D4104">
              <w:rPr>
                <w:rFonts w:ascii="Arial" w:eastAsia="Calibri" w:hAnsi="Arial" w:cs="Arial"/>
                <w:bCs/>
                <w:sz w:val="24"/>
                <w:szCs w:val="24"/>
              </w:rPr>
              <w:t xml:space="preserve">Percentage of new clients (newly diagnosed) who have a documented comprehensive assessment/evaluation </w:t>
            </w:r>
            <w:r w:rsidRPr="007D4104">
              <w:rPr>
                <w:rFonts w:ascii="Arial" w:eastAsia="Calibri" w:hAnsi="Arial" w:cs="Arial"/>
                <w:color w:val="000000"/>
                <w:sz w:val="24"/>
                <w:szCs w:val="24"/>
              </w:rPr>
              <w:t xml:space="preserve">completed by the MD, NP, CNS, or PA within 3 months of HIV diagnosis in accordance with professional and established HIV practice guidelines. </w:t>
            </w:r>
            <w:r w:rsidRPr="007D4104">
              <w:rPr>
                <w:rFonts w:ascii="Arial" w:eastAsia="Calibri" w:hAnsi="Arial" w:cs="Arial"/>
                <w:b/>
                <w:i/>
                <w:color w:val="FF0000"/>
                <w:sz w:val="24"/>
                <w:szCs w:val="24"/>
              </w:rPr>
              <w:t>(HRSA HAB Measure – Linkage to Care)</w:t>
            </w:r>
          </w:p>
          <w:p w:rsidR="007D4104" w:rsidRPr="007D4104" w:rsidRDefault="007D4104" w:rsidP="007D4104">
            <w:pPr>
              <w:spacing w:after="0" w:line="240" w:lineRule="auto"/>
              <w:jc w:val="both"/>
              <w:rPr>
                <w:rFonts w:ascii="Arial" w:eastAsia="Calibri" w:hAnsi="Arial" w:cs="Arial"/>
                <w:b/>
                <w:i/>
                <w:color w:val="FF0000"/>
                <w:sz w:val="24"/>
                <w:szCs w:val="24"/>
              </w:rPr>
            </w:pPr>
          </w:p>
        </w:tc>
      </w:tr>
      <w:tr w:rsidR="001C7402" w:rsidRPr="001C7402" w:rsidTr="007D4104">
        <w:trPr>
          <w:trHeight w:val="2526"/>
        </w:trPr>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1.b</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Times New Roman" w:hAnsi="Arial" w:cs="Arial"/>
                <w:b/>
                <w:color w:val="000000"/>
                <w:sz w:val="24"/>
                <w:szCs w:val="24"/>
              </w:rPr>
            </w:pPr>
            <w:r w:rsidRPr="007D4104">
              <w:rPr>
                <w:rFonts w:ascii="Arial" w:eastAsia="Times New Roman" w:hAnsi="Arial" w:cs="Arial"/>
                <w:b/>
                <w:color w:val="000000"/>
                <w:sz w:val="24"/>
                <w:szCs w:val="24"/>
              </w:rPr>
              <w:t>Comprehensive HIV related history:</w:t>
            </w:r>
          </w:p>
          <w:p w:rsidR="001C7402" w:rsidRPr="007D4104" w:rsidRDefault="001C7402" w:rsidP="007D4104">
            <w:p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History shall include at a minimum, general medical history, a comprehensive HIV related history and psychosocial history.</w:t>
            </w:r>
          </w:p>
          <w:p w:rsidR="001C7402" w:rsidRPr="007D4104" w:rsidRDefault="001C7402" w:rsidP="007D4104">
            <w:pPr>
              <w:spacing w:after="0" w:line="240" w:lineRule="auto"/>
              <w:jc w:val="both"/>
              <w:rPr>
                <w:rFonts w:ascii="Arial" w:eastAsia="Times New Roman" w:hAnsi="Arial" w:cs="Arial"/>
                <w:color w:val="000000"/>
                <w:sz w:val="24"/>
                <w:szCs w:val="24"/>
              </w:rPr>
            </w:pPr>
          </w:p>
          <w:p w:rsidR="001C7402" w:rsidRPr="007D4104" w:rsidRDefault="001C7402" w:rsidP="007D4104">
            <w:pPr>
              <w:spacing w:after="0" w:line="240" w:lineRule="auto"/>
              <w:rPr>
                <w:rFonts w:ascii="Arial" w:eastAsia="Calibri" w:hAnsi="Arial" w:cs="Arial"/>
                <w:color w:val="0000FF"/>
                <w:szCs w:val="24"/>
                <w:u w:val="single"/>
              </w:rPr>
            </w:pPr>
            <w:r w:rsidRPr="007D4104">
              <w:rPr>
                <w:rFonts w:ascii="Arial" w:eastAsia="Times New Roman" w:hAnsi="Arial" w:cs="Arial"/>
                <w:b/>
                <w:i/>
                <w:color w:val="000000"/>
                <w:szCs w:val="24"/>
              </w:rPr>
              <w:t>Source</w:t>
            </w:r>
            <w:r w:rsidRPr="007D4104">
              <w:rPr>
                <w:rFonts w:ascii="Arial" w:eastAsia="Times New Roman" w:hAnsi="Arial" w:cs="Arial"/>
                <w:color w:val="000000"/>
                <w:szCs w:val="24"/>
              </w:rPr>
              <w:t>: Page 61-70;</w:t>
            </w:r>
            <w:r w:rsidRPr="007D4104">
              <w:rPr>
                <w:rFonts w:ascii="Arial" w:eastAsia="Calibri" w:hAnsi="Arial" w:cs="Arial"/>
                <w:color w:val="000000"/>
                <w:szCs w:val="24"/>
              </w:rPr>
              <w:t xml:space="preserve"> </w:t>
            </w:r>
            <w:hyperlink r:id="rId21" w:history="1">
              <w:r w:rsidRPr="007D4104">
                <w:rPr>
                  <w:rFonts w:ascii="Arial" w:eastAsia="Calibri" w:hAnsi="Arial" w:cs="Arial"/>
                  <w:color w:val="0000FF"/>
                  <w:szCs w:val="24"/>
                  <w:u w:val="single"/>
                </w:rPr>
                <w:t>https://hab.hrsa.gov/sites/default/files/hab/clinical-quality-management/2014guide.pdf</w:t>
              </w:r>
            </w:hyperlink>
          </w:p>
          <w:p w:rsidR="009724C7" w:rsidRPr="007D4104" w:rsidDel="006E6C50" w:rsidRDefault="009724C7" w:rsidP="007D4104">
            <w:pPr>
              <w:spacing w:after="0" w:line="240" w:lineRule="auto"/>
              <w:jc w:val="both"/>
              <w:rPr>
                <w:rFonts w:ascii="Arial" w:eastAsia="Calibri" w:hAnsi="Arial" w:cs="Arial"/>
                <w:color w:val="000000"/>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1.b</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Written documentation on Consumer’s record.</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bCs/>
                <w:color w:val="000000"/>
                <w:sz w:val="24"/>
                <w:szCs w:val="24"/>
              </w:rPr>
            </w:pPr>
          </w:p>
        </w:tc>
      </w:tr>
      <w:tr w:rsidR="001C7402" w:rsidRPr="001C7402" w:rsidTr="007D4104">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1.c</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Times New Roman" w:hAnsi="Arial" w:cs="Arial"/>
                <w:b/>
                <w:bCs/>
                <w:sz w:val="24"/>
                <w:szCs w:val="24"/>
              </w:rPr>
            </w:pPr>
            <w:r w:rsidRPr="007D4104">
              <w:rPr>
                <w:rFonts w:ascii="Arial" w:eastAsia="Times New Roman" w:hAnsi="Arial" w:cs="Arial"/>
                <w:b/>
                <w:bCs/>
                <w:sz w:val="24"/>
                <w:szCs w:val="24"/>
              </w:rPr>
              <w:t xml:space="preserve">Physical Examination: </w:t>
            </w:r>
            <w:r w:rsidRPr="007D4104">
              <w:rPr>
                <w:rFonts w:ascii="Arial" w:eastAsia="Times New Roman" w:hAnsi="Arial" w:cs="Arial"/>
                <w:bCs/>
                <w:sz w:val="24"/>
                <w:szCs w:val="24"/>
              </w:rPr>
              <w:t>Providers should perform a complete history and physical examination upon entry to care and thereafter at least 1 per year.</w:t>
            </w:r>
          </w:p>
          <w:p w:rsidR="001C7402" w:rsidRPr="007D4104" w:rsidRDefault="001C7402" w:rsidP="007D4104">
            <w:pPr>
              <w:spacing w:after="0" w:line="240" w:lineRule="auto"/>
              <w:jc w:val="both"/>
              <w:rPr>
                <w:rFonts w:ascii="Arial" w:eastAsia="Times New Roman" w:hAnsi="Arial" w:cs="Arial"/>
                <w:bCs/>
                <w:sz w:val="24"/>
                <w:szCs w:val="24"/>
              </w:rPr>
            </w:pPr>
          </w:p>
          <w:p w:rsidR="001C7402" w:rsidRPr="007D4104" w:rsidRDefault="001C7402" w:rsidP="007D4104">
            <w:pPr>
              <w:spacing w:after="0" w:line="240" w:lineRule="auto"/>
              <w:jc w:val="both"/>
              <w:rPr>
                <w:rFonts w:ascii="Arial" w:eastAsia="Calibri" w:hAnsi="Arial" w:cs="Arial"/>
                <w:color w:val="000000"/>
                <w:sz w:val="24"/>
                <w:szCs w:val="24"/>
              </w:rPr>
            </w:pPr>
            <w:r w:rsidRPr="007D4104">
              <w:rPr>
                <w:rFonts w:ascii="Arial" w:eastAsia="Calibri" w:hAnsi="Arial" w:cs="Arial"/>
                <w:color w:val="000000"/>
                <w:sz w:val="24"/>
                <w:szCs w:val="24"/>
              </w:rPr>
              <w:t>Objective assessment:</w:t>
            </w:r>
          </w:p>
          <w:p w:rsidR="001C7402" w:rsidRPr="007D4104" w:rsidRDefault="001C7402" w:rsidP="001B1B43">
            <w:pPr>
              <w:pStyle w:val="ListParagraph"/>
              <w:numPr>
                <w:ilvl w:val="0"/>
                <w:numId w:val="41"/>
              </w:numPr>
              <w:spacing w:after="0" w:line="240" w:lineRule="auto"/>
              <w:jc w:val="both"/>
              <w:rPr>
                <w:rFonts w:ascii="Arial" w:eastAsia="Calibri" w:hAnsi="Arial" w:cs="Arial"/>
                <w:color w:val="000000"/>
                <w:sz w:val="24"/>
                <w:szCs w:val="24"/>
              </w:rPr>
            </w:pPr>
            <w:r w:rsidRPr="007D4104">
              <w:rPr>
                <w:rFonts w:ascii="Arial" w:eastAsia="Calibri" w:hAnsi="Arial" w:cs="Arial"/>
                <w:color w:val="000000"/>
                <w:sz w:val="24"/>
                <w:szCs w:val="24"/>
              </w:rPr>
              <w:t>Patient’s general appearance</w:t>
            </w:r>
          </w:p>
          <w:p w:rsidR="001C7402" w:rsidRPr="007D4104" w:rsidRDefault="001C7402" w:rsidP="001B1B43">
            <w:pPr>
              <w:pStyle w:val="ListParagraph"/>
              <w:numPr>
                <w:ilvl w:val="0"/>
                <w:numId w:val="41"/>
              </w:numPr>
              <w:spacing w:after="0" w:line="240" w:lineRule="auto"/>
              <w:jc w:val="both"/>
              <w:rPr>
                <w:rFonts w:ascii="Arial" w:eastAsia="Calibri" w:hAnsi="Arial" w:cs="Arial"/>
                <w:color w:val="000000"/>
                <w:sz w:val="24"/>
                <w:szCs w:val="24"/>
              </w:rPr>
            </w:pPr>
            <w:r w:rsidRPr="007D4104">
              <w:rPr>
                <w:rFonts w:ascii="Arial" w:eastAsia="Calibri" w:hAnsi="Arial" w:cs="Arial"/>
                <w:color w:val="000000"/>
                <w:sz w:val="24"/>
                <w:szCs w:val="24"/>
              </w:rPr>
              <w:t>Patient’s affect and demeanor in answering questions</w:t>
            </w:r>
          </w:p>
          <w:p w:rsidR="001C7402" w:rsidRPr="007D4104" w:rsidRDefault="001C7402" w:rsidP="001B1B43">
            <w:pPr>
              <w:pStyle w:val="ListParagraph"/>
              <w:numPr>
                <w:ilvl w:val="0"/>
                <w:numId w:val="41"/>
              </w:numPr>
              <w:spacing w:after="0" w:line="240" w:lineRule="auto"/>
              <w:jc w:val="both"/>
              <w:rPr>
                <w:rFonts w:ascii="Arial" w:eastAsia="Calibri" w:hAnsi="Arial" w:cs="Arial"/>
                <w:color w:val="000000"/>
                <w:sz w:val="24"/>
                <w:szCs w:val="24"/>
              </w:rPr>
            </w:pPr>
            <w:r w:rsidRPr="007D4104">
              <w:rPr>
                <w:rFonts w:ascii="Arial" w:eastAsia="Calibri" w:hAnsi="Arial" w:cs="Arial"/>
                <w:color w:val="000000"/>
                <w:sz w:val="24"/>
                <w:szCs w:val="24"/>
              </w:rPr>
              <w:lastRenderedPageBreak/>
              <w:t>Body language</w:t>
            </w:r>
          </w:p>
          <w:p w:rsidR="001C7402" w:rsidRPr="007D4104" w:rsidRDefault="001C7402" w:rsidP="001B1B43">
            <w:pPr>
              <w:pStyle w:val="ListParagraph"/>
              <w:numPr>
                <w:ilvl w:val="0"/>
                <w:numId w:val="41"/>
              </w:numPr>
              <w:spacing w:after="0" w:line="240" w:lineRule="auto"/>
              <w:jc w:val="both"/>
              <w:rPr>
                <w:rFonts w:ascii="Arial" w:eastAsia="Calibri" w:hAnsi="Arial" w:cs="Arial"/>
                <w:color w:val="000000"/>
                <w:sz w:val="24"/>
                <w:szCs w:val="24"/>
              </w:rPr>
            </w:pPr>
            <w:r w:rsidRPr="007D4104">
              <w:rPr>
                <w:rFonts w:ascii="Arial" w:eastAsia="Calibri" w:hAnsi="Arial" w:cs="Arial"/>
                <w:color w:val="000000"/>
                <w:sz w:val="24"/>
                <w:szCs w:val="24"/>
              </w:rPr>
              <w:t>Other relevant characteristics</w:t>
            </w:r>
          </w:p>
          <w:p w:rsidR="001C7402" w:rsidRPr="007D4104" w:rsidRDefault="001C7402" w:rsidP="001B1B43">
            <w:pPr>
              <w:pStyle w:val="ListParagraph"/>
              <w:numPr>
                <w:ilvl w:val="0"/>
                <w:numId w:val="41"/>
              </w:numPr>
              <w:spacing w:after="0" w:line="240" w:lineRule="auto"/>
              <w:jc w:val="both"/>
              <w:rPr>
                <w:rFonts w:ascii="Arial" w:eastAsia="Calibri" w:hAnsi="Arial" w:cs="Arial"/>
                <w:color w:val="000000"/>
                <w:sz w:val="24"/>
                <w:szCs w:val="24"/>
              </w:rPr>
            </w:pPr>
            <w:r w:rsidRPr="007D4104">
              <w:rPr>
                <w:rFonts w:ascii="Arial" w:eastAsia="Calibri" w:hAnsi="Arial" w:cs="Arial"/>
                <w:color w:val="000000"/>
                <w:sz w:val="24"/>
                <w:szCs w:val="24"/>
              </w:rPr>
              <w:t>Measure vital signs</w:t>
            </w:r>
          </w:p>
          <w:p w:rsidR="001C7402" w:rsidRPr="007D4104" w:rsidRDefault="001C7402" w:rsidP="001B1B43">
            <w:pPr>
              <w:pStyle w:val="ListParagraph"/>
              <w:numPr>
                <w:ilvl w:val="0"/>
                <w:numId w:val="41"/>
              </w:numPr>
              <w:spacing w:after="0" w:line="240" w:lineRule="auto"/>
              <w:jc w:val="both"/>
              <w:rPr>
                <w:rFonts w:ascii="Arial" w:eastAsia="Calibri" w:hAnsi="Arial" w:cs="Arial"/>
                <w:color w:val="000000"/>
                <w:sz w:val="24"/>
                <w:szCs w:val="24"/>
              </w:rPr>
            </w:pPr>
            <w:r w:rsidRPr="007D4104">
              <w:rPr>
                <w:rFonts w:ascii="Arial" w:eastAsia="Calibri" w:hAnsi="Arial" w:cs="Arial"/>
                <w:color w:val="000000"/>
                <w:sz w:val="24"/>
                <w:szCs w:val="24"/>
              </w:rPr>
              <w:t>Perform physical examination</w:t>
            </w:r>
          </w:p>
          <w:p w:rsidR="001C7402" w:rsidRPr="007D4104" w:rsidRDefault="001C7402" w:rsidP="007D4104">
            <w:pPr>
              <w:spacing w:after="0" w:line="240" w:lineRule="auto"/>
              <w:jc w:val="both"/>
              <w:rPr>
                <w:rFonts w:ascii="Arial" w:eastAsia="Calibri" w:hAnsi="Arial" w:cs="Arial"/>
                <w:color w:val="000000"/>
                <w:sz w:val="24"/>
                <w:szCs w:val="24"/>
              </w:rPr>
            </w:pPr>
          </w:p>
          <w:p w:rsidR="000D1F19" w:rsidRPr="007D4104" w:rsidRDefault="001C7402" w:rsidP="007D4104">
            <w:pPr>
              <w:spacing w:after="0" w:line="240" w:lineRule="auto"/>
              <w:rPr>
                <w:rFonts w:ascii="Arial" w:eastAsia="Calibri" w:hAnsi="Arial" w:cs="Arial"/>
                <w:color w:val="0000FF"/>
                <w:szCs w:val="24"/>
                <w:u w:val="single"/>
              </w:rPr>
            </w:pPr>
            <w:r w:rsidRPr="007D4104">
              <w:rPr>
                <w:rFonts w:ascii="Arial" w:eastAsia="Calibri" w:hAnsi="Arial" w:cs="Arial"/>
                <w:b/>
                <w:i/>
                <w:color w:val="000000"/>
                <w:szCs w:val="24"/>
              </w:rPr>
              <w:t>Source</w:t>
            </w:r>
            <w:r w:rsidRPr="007D4104">
              <w:rPr>
                <w:rFonts w:ascii="Arial" w:eastAsia="Calibri" w:hAnsi="Arial" w:cs="Arial"/>
                <w:color w:val="000000"/>
                <w:szCs w:val="24"/>
              </w:rPr>
              <w:t xml:space="preserve">: Page 73-77; </w:t>
            </w:r>
            <w:hyperlink r:id="rId22" w:history="1">
              <w:r w:rsidRPr="007D4104">
                <w:rPr>
                  <w:rFonts w:ascii="Arial" w:eastAsia="Calibri" w:hAnsi="Arial" w:cs="Arial"/>
                  <w:color w:val="0000FF"/>
                  <w:szCs w:val="24"/>
                  <w:u w:val="single"/>
                </w:rPr>
                <w:t>https://hab.hrsa.gov/sites/default/files/hab/clinical-quality-management/2014guide.pdf</w:t>
              </w:r>
            </w:hyperlink>
          </w:p>
          <w:p w:rsidR="00FD2282" w:rsidRPr="007D4104" w:rsidRDefault="00FD2282" w:rsidP="007D4104">
            <w:pPr>
              <w:spacing w:after="0" w:line="240" w:lineRule="auto"/>
              <w:jc w:val="both"/>
              <w:rPr>
                <w:rFonts w:ascii="Arial" w:eastAsia="Calibri" w:hAnsi="Arial" w:cs="Arial"/>
                <w:color w:val="0000FF"/>
                <w:sz w:val="24"/>
                <w:szCs w:val="24"/>
                <w:u w:val="single"/>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1.c</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Written documentation on Consumer’s record.</w:t>
            </w:r>
          </w:p>
          <w:p w:rsidR="001C7402" w:rsidRPr="007D4104" w:rsidRDefault="001C7402" w:rsidP="007D4104">
            <w:pPr>
              <w:spacing w:after="0" w:line="240" w:lineRule="auto"/>
              <w:jc w:val="both"/>
              <w:rPr>
                <w:rFonts w:ascii="Arial" w:eastAsia="Times New Roman" w:hAnsi="Arial" w:cs="Arial"/>
                <w:color w:val="000000"/>
                <w:sz w:val="24"/>
                <w:szCs w:val="24"/>
              </w:rPr>
            </w:pPr>
          </w:p>
          <w:p w:rsidR="001C7402" w:rsidRPr="007D4104" w:rsidRDefault="001C7402" w:rsidP="007D4104">
            <w:pPr>
              <w:spacing w:after="0" w:line="240" w:lineRule="auto"/>
              <w:jc w:val="both"/>
              <w:rPr>
                <w:rFonts w:ascii="Arial" w:eastAsia="Times New Roman" w:hAnsi="Arial" w:cs="Arial"/>
                <w:color w:val="000000"/>
                <w:sz w:val="24"/>
                <w:szCs w:val="24"/>
              </w:rPr>
            </w:pPr>
          </w:p>
          <w:p w:rsidR="001C7402" w:rsidRPr="007D4104" w:rsidRDefault="001C7402" w:rsidP="007D4104">
            <w:pPr>
              <w:spacing w:after="0" w:line="240" w:lineRule="auto"/>
              <w:jc w:val="both"/>
              <w:rPr>
                <w:rFonts w:ascii="Arial" w:eastAsia="Calibri" w:hAnsi="Arial" w:cs="Arial"/>
                <w:bCs/>
                <w:sz w:val="24"/>
                <w:szCs w:val="24"/>
              </w:rPr>
            </w:pPr>
          </w:p>
        </w:tc>
      </w:tr>
      <w:tr w:rsidR="001C7402" w:rsidRPr="001C7402" w:rsidTr="007D4104">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1.d</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Cs/>
                <w:sz w:val="24"/>
                <w:szCs w:val="24"/>
              </w:rPr>
            </w:pPr>
            <w:r w:rsidRPr="007D4104">
              <w:rPr>
                <w:rFonts w:ascii="Arial" w:eastAsia="Calibri" w:hAnsi="Arial" w:cs="Arial"/>
                <w:b/>
                <w:bCs/>
                <w:sz w:val="24"/>
                <w:szCs w:val="24"/>
              </w:rPr>
              <w:t>Initial laboratory tests</w:t>
            </w:r>
            <w:r w:rsidRPr="007D4104">
              <w:rPr>
                <w:rFonts w:ascii="Arial" w:eastAsia="Calibri" w:hAnsi="Arial" w:cs="Arial"/>
                <w:bCs/>
                <w:sz w:val="24"/>
                <w:szCs w:val="24"/>
              </w:rPr>
              <w:t>, as clinically indicated by licensed provider.</w:t>
            </w:r>
          </w:p>
          <w:p w:rsidR="001C7402" w:rsidRPr="007D4104" w:rsidRDefault="001C7402" w:rsidP="007D4104">
            <w:pPr>
              <w:framePr w:hSpace="180" w:wrap="around" w:vAnchor="text" w:hAnchor="margin" w:y="241"/>
              <w:autoSpaceDE w:val="0"/>
              <w:autoSpaceDN w:val="0"/>
              <w:adjustRightInd w:val="0"/>
              <w:spacing w:after="0" w:line="240" w:lineRule="auto"/>
              <w:jc w:val="both"/>
              <w:rPr>
                <w:rFonts w:ascii="Arial" w:eastAsia="Times New Roman" w:hAnsi="Arial" w:cs="Arial"/>
                <w:b/>
                <w:color w:val="000000"/>
                <w:sz w:val="24"/>
                <w:szCs w:val="24"/>
              </w:rPr>
            </w:pPr>
          </w:p>
          <w:p w:rsidR="001C7402" w:rsidRPr="007D4104" w:rsidRDefault="001C7402" w:rsidP="007D4104">
            <w:pPr>
              <w:spacing w:after="0" w:line="240" w:lineRule="auto"/>
              <w:rPr>
                <w:rFonts w:ascii="Arial" w:eastAsia="Calibri" w:hAnsi="Arial" w:cs="Arial"/>
                <w:color w:val="0000FF"/>
                <w:szCs w:val="24"/>
                <w:u w:val="single"/>
              </w:rPr>
            </w:pPr>
            <w:r w:rsidRPr="007D4104">
              <w:rPr>
                <w:rFonts w:ascii="Arial" w:eastAsia="Calibri" w:hAnsi="Arial" w:cs="Arial"/>
                <w:b/>
                <w:i/>
                <w:szCs w:val="24"/>
              </w:rPr>
              <w:t>Source</w:t>
            </w:r>
            <w:r w:rsidRPr="007D4104">
              <w:rPr>
                <w:rFonts w:ascii="Arial" w:eastAsia="Calibri" w:hAnsi="Arial" w:cs="Arial"/>
                <w:szCs w:val="24"/>
              </w:rPr>
              <w:t>: Page 79-89;</w:t>
            </w:r>
            <w:r w:rsidRPr="007D4104">
              <w:rPr>
                <w:rFonts w:ascii="Arial" w:eastAsia="Calibri" w:hAnsi="Arial" w:cs="Arial"/>
                <w:color w:val="000000"/>
                <w:szCs w:val="24"/>
              </w:rPr>
              <w:t xml:space="preserve"> </w:t>
            </w:r>
            <w:hyperlink r:id="rId23" w:history="1">
              <w:r w:rsidRPr="007D4104">
                <w:rPr>
                  <w:rFonts w:ascii="Arial" w:eastAsia="Calibri" w:hAnsi="Arial" w:cs="Arial"/>
                  <w:color w:val="0000FF"/>
                  <w:szCs w:val="24"/>
                  <w:u w:val="single"/>
                </w:rPr>
                <w:t>https://hab.hrsa.gov/sites/default/files/hab/clinical-quality-management/2014guide.pdf</w:t>
              </w:r>
            </w:hyperlink>
          </w:p>
          <w:p w:rsidR="009724C7" w:rsidRPr="007D4104" w:rsidRDefault="009724C7" w:rsidP="007D4104">
            <w:pPr>
              <w:spacing w:after="0" w:line="240" w:lineRule="auto"/>
              <w:jc w:val="both"/>
              <w:rPr>
                <w:rFonts w:ascii="Arial" w:eastAsia="Calibri" w:hAnsi="Arial" w:cs="Arial"/>
                <w:color w:val="000000"/>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1.d</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Written documentation on Consumer’s record.</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b/>
                <w:i/>
                <w:color w:val="FF0000"/>
                <w:sz w:val="24"/>
                <w:szCs w:val="24"/>
              </w:rPr>
            </w:pPr>
            <w:r w:rsidRPr="007D4104">
              <w:rPr>
                <w:rFonts w:ascii="Arial" w:eastAsia="MS Mincho" w:hAnsi="Arial" w:cs="Arial"/>
                <w:color w:val="000000"/>
                <w:sz w:val="24"/>
                <w:szCs w:val="24"/>
              </w:rPr>
              <w:t xml:space="preserve">Percentage of clients with documented HIV-RNA viral load. </w:t>
            </w:r>
            <w:r w:rsidRPr="007D4104">
              <w:rPr>
                <w:rFonts w:ascii="Arial" w:eastAsia="MS Mincho" w:hAnsi="Arial" w:cs="Arial"/>
                <w:b/>
                <w:i/>
                <w:color w:val="FF0000"/>
                <w:sz w:val="24"/>
                <w:szCs w:val="24"/>
              </w:rPr>
              <w:t>(HRSA HAB Measure)</w:t>
            </w:r>
          </w:p>
        </w:tc>
      </w:tr>
      <w:tr w:rsidR="001C7402" w:rsidRPr="001C7402" w:rsidTr="007D4104">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 xml:space="preserve">1.e </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
                <w:bCs/>
                <w:sz w:val="24"/>
                <w:szCs w:val="24"/>
              </w:rPr>
            </w:pPr>
            <w:r w:rsidRPr="007D4104">
              <w:rPr>
                <w:rFonts w:ascii="Arial" w:eastAsia="Calibri" w:hAnsi="Arial" w:cs="Arial"/>
                <w:b/>
                <w:bCs/>
                <w:sz w:val="24"/>
                <w:szCs w:val="24"/>
              </w:rPr>
              <w:t xml:space="preserve">Initial Screenings/Assessments: </w:t>
            </w:r>
            <w:r w:rsidRPr="007D4104">
              <w:rPr>
                <w:rFonts w:ascii="Arial" w:eastAsia="Calibri" w:hAnsi="Arial" w:cs="Arial"/>
                <w:sz w:val="24"/>
                <w:szCs w:val="24"/>
              </w:rPr>
              <w:t>Screening should include at a minimum:</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Quantitative HCV RNA viral load testing </w:t>
            </w:r>
            <w:r w:rsidRPr="007D4104">
              <w:rPr>
                <w:rFonts w:ascii="MS Gothic" w:eastAsia="MS Gothic" w:hAnsi="MS Gothic" w:cs="MS Gothic" w:hint="eastAsia"/>
                <w:color w:val="000000"/>
                <w:sz w:val="24"/>
                <w:szCs w:val="24"/>
              </w:rPr>
              <w:t> </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Hepatitis A, B &amp; C screens at initial intake.</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z w:val="24"/>
                <w:szCs w:val="24"/>
              </w:rPr>
            </w:pPr>
            <w:r w:rsidRPr="007D4104">
              <w:rPr>
                <w:rFonts w:ascii="Arial" w:eastAsia="MS Mincho" w:hAnsi="Arial" w:cs="Arial"/>
                <w:sz w:val="24"/>
                <w:szCs w:val="24"/>
              </w:rPr>
              <w:t>Mental health assessment that includes screening for clinical depression</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trike/>
                <w:sz w:val="24"/>
                <w:szCs w:val="24"/>
              </w:rPr>
            </w:pPr>
            <w:r w:rsidRPr="007D4104">
              <w:rPr>
                <w:rFonts w:ascii="Arial" w:eastAsia="Times New Roman" w:hAnsi="Arial" w:cs="Arial"/>
                <w:bCs/>
                <w:color w:val="000000"/>
                <w:sz w:val="24"/>
                <w:szCs w:val="24"/>
              </w:rPr>
              <w:t xml:space="preserve">Psychosocial assessment, </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z w:val="24"/>
                <w:szCs w:val="24"/>
              </w:rPr>
            </w:pPr>
            <w:r w:rsidRPr="007D4104">
              <w:rPr>
                <w:rFonts w:ascii="Arial" w:eastAsia="MS Mincho" w:hAnsi="Arial" w:cs="Arial"/>
                <w:sz w:val="24"/>
                <w:szCs w:val="24"/>
              </w:rPr>
              <w:t>Substance use and abuse screening</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z w:val="24"/>
                <w:szCs w:val="24"/>
              </w:rPr>
            </w:pPr>
            <w:r w:rsidRPr="007D4104">
              <w:rPr>
                <w:rFonts w:ascii="Arial" w:eastAsia="MS Mincho" w:hAnsi="Arial" w:cs="Arial"/>
                <w:sz w:val="24"/>
                <w:szCs w:val="24"/>
              </w:rPr>
              <w:t>Alcohol use screening</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z w:val="24"/>
                <w:szCs w:val="24"/>
              </w:rPr>
            </w:pPr>
            <w:r w:rsidRPr="007D4104">
              <w:rPr>
                <w:rFonts w:ascii="Arial" w:eastAsia="MS Mincho" w:hAnsi="Arial" w:cs="Arial"/>
                <w:sz w:val="24"/>
                <w:szCs w:val="24"/>
              </w:rPr>
              <w:t>Patients on ART receive lipid screening annually</w:t>
            </w:r>
          </w:p>
          <w:p w:rsidR="001C7402" w:rsidRPr="007D4104" w:rsidRDefault="001C7402" w:rsidP="001B1B43">
            <w:pPr>
              <w:pStyle w:val="ListParagraph"/>
              <w:numPr>
                <w:ilvl w:val="0"/>
                <w:numId w:val="42"/>
              </w:numPr>
              <w:spacing w:after="0" w:line="240" w:lineRule="auto"/>
              <w:jc w:val="both"/>
              <w:rPr>
                <w:rFonts w:ascii="Arial" w:eastAsia="Calibri" w:hAnsi="Arial" w:cs="Arial"/>
                <w:sz w:val="24"/>
                <w:szCs w:val="24"/>
              </w:rPr>
            </w:pPr>
            <w:r w:rsidRPr="007D4104">
              <w:rPr>
                <w:rFonts w:ascii="Arial" w:eastAsia="Calibri" w:hAnsi="Arial" w:cs="Arial"/>
                <w:color w:val="000000"/>
                <w:sz w:val="24"/>
                <w:szCs w:val="24"/>
              </w:rPr>
              <w:t>Tobacco use screening</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Oral health assessment and screening</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Cervical Cancer Screen</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z w:val="24"/>
                <w:szCs w:val="24"/>
              </w:rPr>
            </w:pPr>
            <w:r w:rsidRPr="007D4104">
              <w:rPr>
                <w:rFonts w:ascii="Arial" w:eastAsia="MS Mincho" w:hAnsi="Arial" w:cs="Arial"/>
                <w:sz w:val="24"/>
                <w:szCs w:val="24"/>
              </w:rPr>
              <w:t>Tuberculosis (TB) Screening (T-spot or Quantiferon)</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z w:val="24"/>
                <w:szCs w:val="24"/>
              </w:rPr>
            </w:pPr>
            <w:r w:rsidRPr="007D4104">
              <w:rPr>
                <w:rFonts w:ascii="Arial" w:eastAsia="MS Mincho" w:hAnsi="Arial" w:cs="Arial"/>
                <w:sz w:val="24"/>
                <w:szCs w:val="24"/>
              </w:rPr>
              <w:t xml:space="preserve">Anal Cancer Screen </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z w:val="24"/>
                <w:szCs w:val="24"/>
              </w:rPr>
            </w:pPr>
            <w:r w:rsidRPr="007D4104">
              <w:rPr>
                <w:rFonts w:ascii="Arial" w:eastAsia="MS Mincho" w:hAnsi="Arial" w:cs="Arial"/>
                <w:sz w:val="24"/>
                <w:szCs w:val="24"/>
              </w:rPr>
              <w:t xml:space="preserve">HLA-B 507 </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z w:val="24"/>
                <w:szCs w:val="24"/>
              </w:rPr>
            </w:pPr>
            <w:r w:rsidRPr="007D4104">
              <w:rPr>
                <w:rFonts w:ascii="Arial" w:eastAsia="MS Mincho" w:hAnsi="Arial" w:cs="Arial"/>
                <w:sz w:val="24"/>
                <w:szCs w:val="24"/>
              </w:rPr>
              <w:t xml:space="preserve">Genotyping </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z w:val="24"/>
                <w:szCs w:val="24"/>
              </w:rPr>
            </w:pPr>
            <w:r w:rsidRPr="007D4104">
              <w:rPr>
                <w:rFonts w:ascii="Arial" w:eastAsia="MS Mincho" w:hAnsi="Arial" w:cs="Arial"/>
                <w:sz w:val="24"/>
                <w:szCs w:val="24"/>
              </w:rPr>
              <w:t>G-6-P-D</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sz w:val="24"/>
                <w:szCs w:val="24"/>
              </w:rPr>
            </w:pPr>
            <w:r w:rsidRPr="007D4104">
              <w:rPr>
                <w:rFonts w:ascii="Arial" w:eastAsia="MS Mincho" w:hAnsi="Arial" w:cs="Arial"/>
                <w:sz w:val="24"/>
                <w:szCs w:val="24"/>
              </w:rPr>
              <w:t xml:space="preserve">Serum VDRL or RPR </w:t>
            </w:r>
            <w:r w:rsidRPr="007D4104">
              <w:rPr>
                <w:rFonts w:ascii="Arial" w:eastAsia="MS Mincho" w:hAnsi="Arial" w:cs="Arial"/>
                <w:sz w:val="24"/>
                <w:szCs w:val="24"/>
              </w:rPr>
              <w:lastRenderedPageBreak/>
              <w:t>(Syphilis Screening)</w:t>
            </w:r>
          </w:p>
          <w:p w:rsidR="001C7402" w:rsidRPr="007D4104" w:rsidRDefault="001C7402" w:rsidP="001B1B43">
            <w:pPr>
              <w:pStyle w:val="ListParagraph"/>
              <w:numPr>
                <w:ilvl w:val="0"/>
                <w:numId w:val="42"/>
              </w:num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Gonorrhea (GC) and Chlamydia (CT) Testing</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rPr>
                <w:rFonts w:ascii="Arial" w:eastAsia="MS Mincho" w:hAnsi="Arial" w:cs="Arial"/>
                <w:color w:val="000000"/>
                <w:szCs w:val="24"/>
              </w:rPr>
            </w:pPr>
            <w:r w:rsidRPr="007D4104">
              <w:rPr>
                <w:rFonts w:ascii="Arial" w:eastAsia="MS Mincho" w:hAnsi="Arial" w:cs="Arial"/>
                <w:b/>
                <w:i/>
                <w:color w:val="000000"/>
                <w:szCs w:val="24"/>
              </w:rPr>
              <w:t>Source</w:t>
            </w:r>
            <w:r w:rsidRPr="007D4104">
              <w:rPr>
                <w:rFonts w:ascii="Arial" w:eastAsia="MS Mincho" w:hAnsi="Arial" w:cs="Arial"/>
                <w:color w:val="000000"/>
                <w:szCs w:val="24"/>
              </w:rPr>
              <w:t xml:space="preserve">: Page 83-89, 127, </w:t>
            </w:r>
            <w:hyperlink r:id="rId24" w:history="1">
              <w:r w:rsidRPr="007D4104">
                <w:rPr>
                  <w:rFonts w:ascii="Arial" w:eastAsia="MS Mincho" w:hAnsi="Arial" w:cs="Arial"/>
                  <w:color w:val="0000FF"/>
                  <w:szCs w:val="24"/>
                  <w:u w:val="single"/>
                </w:rPr>
                <w:t>https://hab.hrsa.gov/sites/default/files/hab/clinical-quality-management/2014guide.pdf</w:t>
              </w:r>
            </w:hyperlink>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spacing w:after="0" w:line="240" w:lineRule="auto"/>
              <w:jc w:val="both"/>
              <w:rPr>
                <w:rFonts w:ascii="Arial" w:eastAsia="Calibri" w:hAnsi="Arial" w:cs="Arial"/>
                <w:bCs/>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1.e</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Written documentation on Consumer’s record.</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female clients with a diagnosis of HIV who were screened for cervical cancer in the last three years.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clients with a diagnosis of HIV at risk for sexually transmitted infections (STIs) who had a test for chlamydia within the measurement year.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clients with a diagnosis of HIV at risk for sexually transmitted infections (STIs) who had a test for gonorrhea within the measurement year.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adult patients with a diagnosis of HIV who had a test for syphilis performed within the measurement year.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clients with documented serologic test for syphilis performed.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patients with a diagnosis of HIV who have been screened for substance use (alcohol &amp; drugs) in the measurement year.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Default="001C7402" w:rsidP="007D4104">
            <w:pPr>
              <w:autoSpaceDE w:val="0"/>
              <w:autoSpaceDN w:val="0"/>
              <w:adjustRightInd w:val="0"/>
              <w:spacing w:after="0" w:line="240" w:lineRule="auto"/>
              <w:jc w:val="both"/>
              <w:rPr>
                <w:rFonts w:ascii="Arial" w:eastAsia="MS Mincho" w:hAnsi="Arial" w:cs="Arial"/>
                <w:b/>
                <w:i/>
                <w:color w:val="FF0000"/>
                <w:sz w:val="24"/>
                <w:szCs w:val="24"/>
              </w:rPr>
            </w:pPr>
            <w:r w:rsidRPr="007D4104">
              <w:rPr>
                <w:rFonts w:ascii="Arial" w:eastAsia="MS Mincho" w:hAnsi="Arial" w:cs="Arial"/>
                <w:color w:val="000000"/>
                <w:sz w:val="24"/>
                <w:szCs w:val="24"/>
              </w:rPr>
              <w:t xml:space="preserve">Percentage of patients aged 3 months and older with a diagnosis of HIV/AIDS, for whom there was documentation that a tuberculosis (TB) screening test was performed and results interpreted (for TB skin tests) as least once since the diagnosis of HIV infection. </w:t>
            </w:r>
            <w:r w:rsidRPr="007D4104">
              <w:rPr>
                <w:rFonts w:ascii="Arial" w:eastAsia="MS Mincho" w:hAnsi="Arial" w:cs="Arial"/>
                <w:b/>
                <w:i/>
                <w:color w:val="FF0000"/>
                <w:sz w:val="24"/>
                <w:szCs w:val="24"/>
              </w:rPr>
              <w:t>(HRSA HAB Measure)</w:t>
            </w:r>
          </w:p>
          <w:p w:rsidR="007D4104" w:rsidRPr="007D4104" w:rsidRDefault="007D4104"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clients, regardless of age, for whom Hepatitis B screening was performed at least once since the diagnosis of HIV/AIDS or for whom there is documented infection or immunity.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spacing w:after="0" w:line="240" w:lineRule="auto"/>
              <w:jc w:val="both"/>
              <w:rPr>
                <w:rFonts w:ascii="Arial" w:eastAsia="Calibri" w:hAnsi="Arial" w:cs="Arial"/>
                <w:b/>
                <w:i/>
                <w:color w:val="FF0000"/>
                <w:sz w:val="24"/>
                <w:szCs w:val="24"/>
              </w:rPr>
            </w:pPr>
            <w:r w:rsidRPr="007D4104">
              <w:rPr>
                <w:rFonts w:ascii="Arial" w:eastAsia="Calibri" w:hAnsi="Arial" w:cs="Arial"/>
                <w:sz w:val="24"/>
                <w:szCs w:val="24"/>
              </w:rPr>
              <w:t xml:space="preserve">Percentage of clients for whom Hepatitis C (HCV) screening was performed at least once since the diagnosis of HIV. </w:t>
            </w:r>
            <w:r w:rsidRPr="007D4104">
              <w:rPr>
                <w:rFonts w:ascii="Arial" w:eastAsia="Calibri" w:hAnsi="Arial" w:cs="Arial"/>
                <w:b/>
                <w:i/>
                <w:color w:val="FF0000"/>
                <w:sz w:val="24"/>
                <w:szCs w:val="24"/>
              </w:rPr>
              <w:t>(HRSA HAB Measure)</w:t>
            </w:r>
          </w:p>
          <w:p w:rsidR="009724C7" w:rsidRPr="007D4104" w:rsidRDefault="009724C7" w:rsidP="007D4104">
            <w:pPr>
              <w:spacing w:after="0" w:line="240" w:lineRule="auto"/>
              <w:jc w:val="both"/>
              <w:rPr>
                <w:rFonts w:ascii="Arial" w:eastAsia="Calibri" w:hAnsi="Arial" w:cs="Arial"/>
                <w:sz w:val="24"/>
                <w:szCs w:val="24"/>
              </w:rPr>
            </w:pPr>
          </w:p>
        </w:tc>
      </w:tr>
      <w:tr w:rsidR="001C7402" w:rsidRPr="001C7402" w:rsidTr="007D4104">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1.f</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
                <w:bCs/>
                <w:sz w:val="24"/>
                <w:szCs w:val="24"/>
              </w:rPr>
            </w:pPr>
            <w:r w:rsidRPr="007D4104">
              <w:rPr>
                <w:rFonts w:ascii="Arial" w:eastAsia="Calibri" w:hAnsi="Arial" w:cs="Arial"/>
                <w:b/>
                <w:bCs/>
                <w:sz w:val="24"/>
                <w:szCs w:val="24"/>
              </w:rPr>
              <w:t>Immunizations/Antibiotic Treatment:</w:t>
            </w:r>
          </w:p>
          <w:p w:rsidR="001C7402" w:rsidRPr="007D4104" w:rsidRDefault="001C7402" w:rsidP="007D4104">
            <w:pPr>
              <w:tabs>
                <w:tab w:val="left" w:pos="3120"/>
                <w:tab w:val="left" w:pos="6560"/>
              </w:tabs>
              <w:spacing w:after="0" w:line="240" w:lineRule="auto"/>
              <w:jc w:val="both"/>
              <w:rPr>
                <w:rFonts w:ascii="Arial" w:eastAsia="Calibri" w:hAnsi="Arial" w:cs="Arial"/>
                <w:bCs/>
                <w:sz w:val="24"/>
                <w:szCs w:val="24"/>
              </w:rPr>
            </w:pPr>
            <w:r w:rsidRPr="007D4104">
              <w:rPr>
                <w:rFonts w:ascii="Arial" w:eastAsia="Calibri" w:hAnsi="Arial" w:cs="Arial"/>
                <w:bCs/>
                <w:sz w:val="24"/>
                <w:szCs w:val="24"/>
              </w:rPr>
              <w:t>Patients will be offered vaccinations for the following:</w:t>
            </w:r>
          </w:p>
          <w:p w:rsidR="001C7402" w:rsidRPr="007D4104" w:rsidRDefault="001C7402" w:rsidP="001B1B43">
            <w:pPr>
              <w:numPr>
                <w:ilvl w:val="0"/>
                <w:numId w:val="38"/>
              </w:num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Pneumococcal is recommended for all clients</w:t>
            </w:r>
          </w:p>
          <w:p w:rsidR="001C7402" w:rsidRPr="007D4104" w:rsidRDefault="001C7402" w:rsidP="001B1B43">
            <w:pPr>
              <w:numPr>
                <w:ilvl w:val="0"/>
                <w:numId w:val="38"/>
              </w:num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 xml:space="preserve">Completion of hepatitis B (HBV) vaccines series, unless otherwise documented as immune </w:t>
            </w:r>
          </w:p>
          <w:p w:rsidR="001C7402" w:rsidRPr="007D4104" w:rsidRDefault="001C7402" w:rsidP="001B1B43">
            <w:pPr>
              <w:numPr>
                <w:ilvl w:val="0"/>
                <w:numId w:val="38"/>
              </w:num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lastRenderedPageBreak/>
              <w:t xml:space="preserve">Completion of hepatitis A (HAV) vaccines series, unless otherwise documented as immune. </w:t>
            </w:r>
          </w:p>
          <w:p w:rsidR="001C7402" w:rsidRPr="007D4104" w:rsidRDefault="001C7402" w:rsidP="001B1B43">
            <w:pPr>
              <w:numPr>
                <w:ilvl w:val="0"/>
                <w:numId w:val="38"/>
              </w:num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Varicella-Zoster (VZV)</w:t>
            </w:r>
          </w:p>
          <w:p w:rsidR="001C7402" w:rsidRPr="007D4104" w:rsidRDefault="001C7402" w:rsidP="001B1B43">
            <w:pPr>
              <w:numPr>
                <w:ilvl w:val="0"/>
                <w:numId w:val="38"/>
              </w:num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Zoster vaccine</w:t>
            </w:r>
          </w:p>
          <w:p w:rsidR="001C7402" w:rsidRPr="007D4104" w:rsidRDefault="001C7402" w:rsidP="001B1B43">
            <w:pPr>
              <w:numPr>
                <w:ilvl w:val="0"/>
                <w:numId w:val="38"/>
              </w:num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 xml:space="preserve">Meningitis </w:t>
            </w:r>
          </w:p>
          <w:p w:rsidR="001C7402" w:rsidRPr="007D4104" w:rsidRDefault="001C7402" w:rsidP="007D4104">
            <w:pPr>
              <w:tabs>
                <w:tab w:val="left" w:pos="3120"/>
                <w:tab w:val="left" w:pos="6560"/>
              </w:tabs>
              <w:spacing w:after="0" w:line="240" w:lineRule="auto"/>
              <w:jc w:val="both"/>
              <w:rPr>
                <w:rFonts w:ascii="Arial" w:eastAsia="Times New Roman" w:hAnsi="Arial" w:cs="Arial"/>
                <w:color w:val="000000"/>
                <w:sz w:val="24"/>
                <w:szCs w:val="24"/>
              </w:rPr>
            </w:pPr>
          </w:p>
          <w:p w:rsidR="001C7402" w:rsidRPr="007D4104" w:rsidRDefault="001C7402" w:rsidP="007D4104">
            <w:pPr>
              <w:tabs>
                <w:tab w:val="left" w:pos="3120"/>
                <w:tab w:val="left" w:pos="6560"/>
              </w:tabs>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Antibiotic treatment for opportunistic infection will be initiated if active infection has been ruled out and positive for:</w:t>
            </w:r>
          </w:p>
          <w:p w:rsidR="001C7402" w:rsidRPr="007D4104" w:rsidRDefault="001C7402" w:rsidP="001B1B43">
            <w:pPr>
              <w:numPr>
                <w:ilvl w:val="0"/>
                <w:numId w:val="39"/>
              </w:num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 xml:space="preserve">Mycobacterium avium complex (MAC) if CD4&lt;50 cells/μL </w:t>
            </w:r>
          </w:p>
          <w:p w:rsidR="001C7402" w:rsidRPr="007D4104" w:rsidRDefault="001C7402" w:rsidP="001B1B43">
            <w:pPr>
              <w:numPr>
                <w:ilvl w:val="0"/>
                <w:numId w:val="39"/>
              </w:num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Toxoplasmosis if CD4&lt;100 cells/μL</w:t>
            </w:r>
          </w:p>
          <w:p w:rsidR="001C7402" w:rsidRPr="007D4104" w:rsidRDefault="001C7402" w:rsidP="007D4104">
            <w:pPr>
              <w:framePr w:hSpace="180" w:wrap="around" w:vAnchor="text" w:hAnchor="margin" w:y="241"/>
              <w:tabs>
                <w:tab w:val="left" w:pos="3120"/>
                <w:tab w:val="left" w:pos="6560"/>
              </w:tabs>
              <w:spacing w:after="0" w:line="240" w:lineRule="auto"/>
              <w:ind w:left="360"/>
              <w:jc w:val="both"/>
              <w:rPr>
                <w:rFonts w:ascii="Arial" w:eastAsia="Calibri" w:hAnsi="Arial" w:cs="Arial"/>
                <w:bCs/>
                <w:sz w:val="24"/>
                <w:szCs w:val="24"/>
              </w:rPr>
            </w:pPr>
          </w:p>
          <w:p w:rsidR="001C7402" w:rsidRPr="007D4104" w:rsidRDefault="001C7402" w:rsidP="007D4104">
            <w:pPr>
              <w:framePr w:hSpace="180" w:wrap="around" w:vAnchor="text" w:hAnchor="margin" w:y="241"/>
              <w:tabs>
                <w:tab w:val="left" w:pos="3120"/>
                <w:tab w:val="left" w:pos="6560"/>
              </w:tabs>
              <w:spacing w:after="0" w:line="240" w:lineRule="auto"/>
              <w:rPr>
                <w:rFonts w:ascii="Arial" w:eastAsia="Calibri" w:hAnsi="Arial" w:cs="Arial"/>
                <w:color w:val="000000"/>
                <w:szCs w:val="24"/>
              </w:rPr>
            </w:pPr>
            <w:r w:rsidRPr="007D4104">
              <w:rPr>
                <w:rFonts w:ascii="Arial" w:eastAsia="Times New Roman" w:hAnsi="Arial" w:cs="Arial"/>
                <w:b/>
                <w:i/>
                <w:color w:val="000000"/>
                <w:szCs w:val="24"/>
              </w:rPr>
              <w:t>Source</w:t>
            </w:r>
            <w:r w:rsidRPr="007D4104">
              <w:rPr>
                <w:rFonts w:ascii="Arial" w:eastAsia="Times New Roman" w:hAnsi="Arial" w:cs="Arial"/>
                <w:color w:val="000000"/>
                <w:szCs w:val="24"/>
              </w:rPr>
              <w:t>: Page 157-160;</w:t>
            </w:r>
            <w:r w:rsidRPr="007D4104">
              <w:rPr>
                <w:rFonts w:ascii="Arial" w:eastAsia="Calibri" w:hAnsi="Arial" w:cs="Arial"/>
                <w:color w:val="000000"/>
                <w:szCs w:val="24"/>
              </w:rPr>
              <w:t xml:space="preserve"> </w:t>
            </w:r>
            <w:hyperlink r:id="rId25" w:history="1">
              <w:r w:rsidRPr="007D4104">
                <w:rPr>
                  <w:rFonts w:ascii="Arial" w:eastAsia="Calibri" w:hAnsi="Arial" w:cs="Arial"/>
                  <w:color w:val="0000FF"/>
                  <w:szCs w:val="24"/>
                  <w:u w:val="single"/>
                </w:rPr>
                <w:t>https://hab.hrsa.gov/sites/default/files/hab/clinical-quality-management/2014guide.pdf</w:t>
              </w:r>
            </w:hyperlink>
          </w:p>
          <w:p w:rsidR="001C7402" w:rsidRPr="007D4104" w:rsidRDefault="001C7402" w:rsidP="007D4104">
            <w:pPr>
              <w:spacing w:after="0" w:line="240" w:lineRule="auto"/>
              <w:jc w:val="both"/>
              <w:rPr>
                <w:rFonts w:ascii="Arial" w:eastAsia="Calibri" w:hAnsi="Arial" w:cs="Arial"/>
                <w:bCs/>
                <w:sz w:val="24"/>
                <w:szCs w:val="24"/>
              </w:rPr>
            </w:pPr>
          </w:p>
          <w:p w:rsidR="009724C7" w:rsidRPr="007D4104" w:rsidRDefault="001C7402" w:rsidP="007D4104">
            <w:pPr>
              <w:spacing w:after="0" w:line="240" w:lineRule="auto"/>
              <w:jc w:val="both"/>
              <w:rPr>
                <w:rFonts w:ascii="Arial" w:eastAsia="Calibri" w:hAnsi="Arial" w:cs="Arial"/>
                <w:bCs/>
                <w:szCs w:val="24"/>
              </w:rPr>
            </w:pPr>
            <w:r w:rsidRPr="007D4104">
              <w:rPr>
                <w:rFonts w:ascii="Arial" w:eastAsia="Calibri" w:hAnsi="Arial" w:cs="Arial"/>
                <w:bCs/>
                <w:szCs w:val="24"/>
              </w:rPr>
              <w:t>*HPV vaccine is recommended for females age 9-26 and males age 9-26; ideally given prior to sexual activity with three doses to complete through age 26.</w:t>
            </w:r>
          </w:p>
          <w:p w:rsidR="000D1F19" w:rsidRPr="007D4104" w:rsidRDefault="000D1F19" w:rsidP="007D4104">
            <w:pPr>
              <w:spacing w:after="0" w:line="240" w:lineRule="auto"/>
              <w:jc w:val="both"/>
              <w:rPr>
                <w:rFonts w:ascii="Arial" w:eastAsia="Calibri" w:hAnsi="Arial" w:cs="Arial"/>
                <w:bCs/>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1.f</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
                <w:i/>
                <w:color w:val="FF0000"/>
                <w:sz w:val="24"/>
                <w:szCs w:val="24"/>
              </w:rPr>
            </w:pPr>
            <w:r w:rsidRPr="007D4104">
              <w:rPr>
                <w:rFonts w:ascii="Arial" w:eastAsia="Times New Roman" w:hAnsi="Arial" w:cs="Arial"/>
                <w:sz w:val="24"/>
                <w:szCs w:val="24"/>
              </w:rPr>
              <w:t xml:space="preserve">Percentage of patients aged 6 months and older seen for a visit between October 1 and March 31 who received an influenza immunization OR who reported previous receipt of an influenza immunization. </w:t>
            </w:r>
            <w:r w:rsidRPr="007D4104">
              <w:rPr>
                <w:rFonts w:ascii="Arial" w:eastAsia="Calibri" w:hAnsi="Arial" w:cs="Arial"/>
                <w:b/>
                <w:i/>
                <w:color w:val="FF0000"/>
                <w:sz w:val="24"/>
                <w:szCs w:val="24"/>
              </w:rPr>
              <w:t>(HRSA HAB Measure)</w:t>
            </w:r>
          </w:p>
          <w:p w:rsidR="001C7402" w:rsidRPr="007D4104" w:rsidRDefault="001C7402" w:rsidP="007D4104">
            <w:pPr>
              <w:spacing w:after="0" w:line="240" w:lineRule="auto"/>
              <w:jc w:val="both"/>
              <w:rPr>
                <w:rFonts w:ascii="Arial" w:eastAsia="Calibri" w:hAnsi="Arial" w:cs="Arial"/>
                <w:b/>
                <w:i/>
                <w:color w:val="FF0000"/>
                <w:sz w:val="24"/>
                <w:szCs w:val="24"/>
              </w:rPr>
            </w:pPr>
          </w:p>
          <w:p w:rsidR="001C7402" w:rsidRPr="007D4104" w:rsidRDefault="001C7402" w:rsidP="007D4104">
            <w:pPr>
              <w:spacing w:after="0" w:line="240" w:lineRule="auto"/>
              <w:jc w:val="both"/>
              <w:rPr>
                <w:rFonts w:ascii="Arial" w:eastAsia="Times New Roman" w:hAnsi="Arial" w:cs="Arial"/>
                <w:sz w:val="24"/>
                <w:szCs w:val="24"/>
              </w:rPr>
            </w:pPr>
            <w:r w:rsidRPr="007D4104">
              <w:rPr>
                <w:rFonts w:ascii="Arial" w:eastAsia="Times New Roman" w:hAnsi="Arial" w:cs="Arial"/>
                <w:sz w:val="24"/>
                <w:szCs w:val="24"/>
              </w:rPr>
              <w:t xml:space="preserve">Percentage of patients with a </w:t>
            </w:r>
            <w:r w:rsidRPr="007D4104">
              <w:rPr>
                <w:rFonts w:ascii="Arial" w:eastAsia="Times New Roman" w:hAnsi="Arial" w:cs="Arial"/>
                <w:sz w:val="24"/>
                <w:szCs w:val="24"/>
              </w:rPr>
              <w:lastRenderedPageBreak/>
              <w:t xml:space="preserve">diagnosis of HIV who completed the vaccination series for Hepatitis B. </w:t>
            </w:r>
            <w:r w:rsidRPr="007D4104">
              <w:rPr>
                <w:rFonts w:ascii="Arial" w:eastAsia="Times New Roman" w:hAnsi="Arial" w:cs="Arial"/>
                <w:b/>
                <w:i/>
                <w:color w:val="FF0000"/>
                <w:sz w:val="24"/>
                <w:szCs w:val="24"/>
              </w:rPr>
              <w:t>(HRSA HAB Measure)</w:t>
            </w:r>
          </w:p>
          <w:p w:rsidR="001C7402" w:rsidRPr="007D4104" w:rsidRDefault="001C7402" w:rsidP="007D4104">
            <w:pPr>
              <w:spacing w:after="0" w:line="240" w:lineRule="auto"/>
              <w:jc w:val="both"/>
              <w:rPr>
                <w:rFonts w:ascii="Arial" w:eastAsia="Times New Roman" w:hAnsi="Arial" w:cs="Arial"/>
                <w:color w:val="000000"/>
                <w:sz w:val="24"/>
                <w:szCs w:val="24"/>
              </w:rPr>
            </w:pPr>
          </w:p>
          <w:p w:rsidR="001C7402" w:rsidRPr="007D4104" w:rsidRDefault="001C7402" w:rsidP="007D4104">
            <w:pPr>
              <w:spacing w:after="0" w:line="240" w:lineRule="auto"/>
              <w:jc w:val="both"/>
              <w:rPr>
                <w:rFonts w:ascii="Arial" w:eastAsia="Times New Roman" w:hAnsi="Arial" w:cs="Arial"/>
                <w:color w:val="000000"/>
                <w:sz w:val="24"/>
                <w:szCs w:val="24"/>
              </w:rPr>
            </w:pPr>
            <w:r w:rsidRPr="007D4104">
              <w:rPr>
                <w:rFonts w:ascii="Arial" w:eastAsia="Times New Roman" w:hAnsi="Arial" w:cs="Arial"/>
                <w:color w:val="000000"/>
                <w:sz w:val="24"/>
                <w:szCs w:val="24"/>
              </w:rPr>
              <w:t xml:space="preserve">Percentage of patients with a diagnosis of HIV who ever received pneumococcal vaccine. </w:t>
            </w:r>
            <w:r w:rsidRPr="007D4104">
              <w:rPr>
                <w:rFonts w:ascii="Arial" w:eastAsia="Times New Roman" w:hAnsi="Arial" w:cs="Arial"/>
                <w:b/>
                <w:i/>
                <w:color w:val="FF0000"/>
                <w:sz w:val="24"/>
                <w:szCs w:val="24"/>
              </w:rPr>
              <w:t>(HRSA HAB Measure)</w:t>
            </w:r>
          </w:p>
          <w:p w:rsidR="001C7402" w:rsidRPr="007D4104" w:rsidRDefault="001C7402" w:rsidP="007D4104">
            <w:pPr>
              <w:spacing w:after="0" w:line="240" w:lineRule="auto"/>
              <w:jc w:val="both"/>
              <w:rPr>
                <w:rFonts w:ascii="Arial" w:eastAsia="Times New Roman" w:hAnsi="Arial" w:cs="Arial"/>
                <w:color w:val="000000"/>
                <w:sz w:val="24"/>
                <w:szCs w:val="24"/>
              </w:rPr>
            </w:pPr>
          </w:p>
          <w:p w:rsidR="001C7402" w:rsidRPr="007D4104" w:rsidRDefault="001C7402" w:rsidP="007D4104">
            <w:pPr>
              <w:spacing w:after="0" w:line="240" w:lineRule="auto"/>
              <w:jc w:val="both"/>
              <w:rPr>
                <w:rFonts w:ascii="Arial" w:eastAsia="Times New Roman" w:hAnsi="Arial" w:cs="Arial"/>
                <w:color w:val="000000"/>
                <w:sz w:val="24"/>
                <w:szCs w:val="24"/>
              </w:rPr>
            </w:pPr>
          </w:p>
          <w:p w:rsidR="001C7402" w:rsidRPr="007D4104" w:rsidRDefault="001C7402" w:rsidP="007D4104">
            <w:pPr>
              <w:spacing w:after="0" w:line="240" w:lineRule="auto"/>
              <w:jc w:val="both"/>
              <w:rPr>
                <w:rFonts w:ascii="Arial" w:eastAsia="Calibri" w:hAnsi="Arial" w:cs="Arial"/>
                <w:sz w:val="24"/>
                <w:szCs w:val="24"/>
              </w:rPr>
            </w:pPr>
          </w:p>
        </w:tc>
      </w:tr>
      <w:tr w:rsidR="001C7402" w:rsidRPr="001C7402" w:rsidTr="007D4104">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1.g</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
                <w:bCs/>
                <w:sz w:val="24"/>
                <w:szCs w:val="24"/>
              </w:rPr>
            </w:pPr>
            <w:r w:rsidRPr="007D4104">
              <w:rPr>
                <w:rFonts w:ascii="Arial" w:eastAsia="Calibri" w:hAnsi="Arial" w:cs="Arial"/>
                <w:b/>
                <w:bCs/>
                <w:sz w:val="24"/>
                <w:szCs w:val="24"/>
              </w:rPr>
              <w:t xml:space="preserve">Antiretroviral Therapy and Pneumocystis jiroveci pneumonia (PCP) Prophylaxis: </w:t>
            </w:r>
            <w:r w:rsidRPr="007D4104">
              <w:rPr>
                <w:rFonts w:ascii="Arial" w:eastAsia="Calibri" w:hAnsi="Arial" w:cs="Arial"/>
                <w:sz w:val="24"/>
                <w:szCs w:val="24"/>
              </w:rPr>
              <w:t xml:space="preserve">Antiretroviral therapy will be prescribed in accordance with the HHS established guidelines. </w:t>
            </w:r>
          </w:p>
          <w:p w:rsidR="001C7402" w:rsidRPr="007D4104" w:rsidRDefault="001C7402" w:rsidP="007D4104">
            <w:pPr>
              <w:tabs>
                <w:tab w:val="left" w:pos="3120"/>
                <w:tab w:val="left" w:pos="6560"/>
              </w:tabs>
              <w:spacing w:after="0" w:line="240" w:lineRule="auto"/>
              <w:jc w:val="both"/>
              <w:rPr>
                <w:rFonts w:ascii="Arial" w:eastAsia="Calibri" w:hAnsi="Arial" w:cs="Arial"/>
                <w:sz w:val="24"/>
                <w:szCs w:val="24"/>
              </w:rPr>
            </w:pPr>
          </w:p>
          <w:p w:rsidR="001C7402" w:rsidRPr="007D4104" w:rsidRDefault="001C7402" w:rsidP="007D4104">
            <w:pPr>
              <w:tabs>
                <w:tab w:val="left" w:pos="3120"/>
                <w:tab w:val="left" w:pos="6560"/>
              </w:tabs>
              <w:spacing w:after="0" w:line="240" w:lineRule="auto"/>
              <w:jc w:val="both"/>
              <w:rPr>
                <w:rFonts w:ascii="Arial" w:eastAsia="Calibri" w:hAnsi="Arial" w:cs="Arial"/>
                <w:sz w:val="24"/>
                <w:szCs w:val="24"/>
              </w:rPr>
            </w:pPr>
            <w:r w:rsidRPr="007D4104">
              <w:rPr>
                <w:rFonts w:ascii="Arial" w:eastAsia="Calibri" w:hAnsi="Arial" w:cs="Arial"/>
                <w:sz w:val="24"/>
                <w:szCs w:val="24"/>
              </w:rPr>
              <w:t xml:space="preserve">Patients who meet current guidelines for ART are offered and/or prescribed ART. </w:t>
            </w:r>
          </w:p>
          <w:p w:rsidR="001C7402" w:rsidRPr="007D4104" w:rsidRDefault="001C7402" w:rsidP="007D4104">
            <w:pPr>
              <w:tabs>
                <w:tab w:val="left" w:pos="3120"/>
                <w:tab w:val="left" w:pos="6560"/>
              </w:tabs>
              <w:spacing w:after="0" w:line="240" w:lineRule="auto"/>
              <w:jc w:val="both"/>
              <w:rPr>
                <w:rFonts w:ascii="Arial" w:eastAsia="Calibri" w:hAnsi="Arial" w:cs="Arial"/>
                <w:sz w:val="24"/>
                <w:szCs w:val="24"/>
              </w:rPr>
            </w:pPr>
          </w:p>
          <w:p w:rsidR="001C7402" w:rsidRPr="007D4104" w:rsidRDefault="001C7402" w:rsidP="007D4104">
            <w:pPr>
              <w:tabs>
                <w:tab w:val="left" w:pos="3120"/>
                <w:tab w:val="left" w:pos="6560"/>
              </w:tabs>
              <w:spacing w:after="0" w:line="240" w:lineRule="auto"/>
              <w:jc w:val="both"/>
              <w:rPr>
                <w:rFonts w:ascii="Arial" w:eastAsia="Calibri" w:hAnsi="Arial" w:cs="Arial"/>
                <w:sz w:val="24"/>
                <w:szCs w:val="24"/>
              </w:rPr>
            </w:pPr>
            <w:r w:rsidRPr="007D4104">
              <w:rPr>
                <w:rFonts w:ascii="Arial" w:eastAsia="Calibri" w:hAnsi="Arial" w:cs="Arial"/>
                <w:sz w:val="24"/>
                <w:szCs w:val="24"/>
              </w:rPr>
              <w:t xml:space="preserve">PCP Prophylaxis will be completed adhering to the current HHS Guidelines. </w:t>
            </w:r>
          </w:p>
          <w:p w:rsidR="001C7402" w:rsidRPr="007D4104" w:rsidRDefault="001C7402" w:rsidP="007D4104">
            <w:pPr>
              <w:tabs>
                <w:tab w:val="left" w:pos="3120"/>
                <w:tab w:val="left" w:pos="6560"/>
              </w:tabs>
              <w:spacing w:after="0" w:line="240" w:lineRule="auto"/>
              <w:jc w:val="both"/>
              <w:rPr>
                <w:rFonts w:ascii="Arial" w:eastAsia="Calibri" w:hAnsi="Arial" w:cs="Arial"/>
                <w:sz w:val="24"/>
                <w:szCs w:val="24"/>
              </w:rPr>
            </w:pPr>
          </w:p>
          <w:p w:rsidR="001C7402" w:rsidRPr="007D4104" w:rsidRDefault="001C7402" w:rsidP="007D4104">
            <w:pPr>
              <w:tabs>
                <w:tab w:val="left" w:pos="3120"/>
                <w:tab w:val="left" w:pos="6560"/>
              </w:tabs>
              <w:spacing w:after="0" w:line="240" w:lineRule="auto"/>
              <w:rPr>
                <w:rFonts w:ascii="Arial" w:eastAsia="Calibri" w:hAnsi="Arial" w:cs="Arial"/>
                <w:szCs w:val="24"/>
              </w:rPr>
            </w:pPr>
            <w:r w:rsidRPr="007D4104">
              <w:rPr>
                <w:rFonts w:ascii="Arial" w:eastAsia="Calibri" w:hAnsi="Arial" w:cs="Arial"/>
                <w:b/>
                <w:i/>
                <w:szCs w:val="24"/>
              </w:rPr>
              <w:t>Source</w:t>
            </w:r>
            <w:r w:rsidRPr="007D4104">
              <w:rPr>
                <w:rFonts w:ascii="Arial" w:eastAsia="Calibri" w:hAnsi="Arial" w:cs="Arial"/>
                <w:szCs w:val="24"/>
              </w:rPr>
              <w:t xml:space="preserve">: (PCP and MAC Prophylaxis) Page 173-179; </w:t>
            </w:r>
            <w:hyperlink r:id="rId26" w:history="1">
              <w:r w:rsidRPr="007D4104">
                <w:rPr>
                  <w:rFonts w:ascii="Arial" w:eastAsia="Calibri" w:hAnsi="Arial" w:cs="Arial"/>
                  <w:color w:val="0000FF"/>
                  <w:szCs w:val="24"/>
                  <w:u w:val="single"/>
                </w:rPr>
                <w:t>https://hab.hrsa.gov/sites/default/files/hab/clinical-quality-</w:t>
              </w:r>
              <w:r w:rsidRPr="007D4104">
                <w:rPr>
                  <w:rFonts w:ascii="Arial" w:eastAsia="Calibri" w:hAnsi="Arial" w:cs="Arial"/>
                  <w:color w:val="0000FF"/>
                  <w:szCs w:val="24"/>
                  <w:u w:val="single"/>
                </w:rPr>
                <w:lastRenderedPageBreak/>
                <w:t>management/2014guide.pdf</w:t>
              </w:r>
            </w:hyperlink>
          </w:p>
          <w:p w:rsidR="001C7402" w:rsidRPr="007D4104" w:rsidRDefault="001C7402" w:rsidP="007D4104">
            <w:pPr>
              <w:spacing w:after="0" w:line="240" w:lineRule="auto"/>
              <w:rPr>
                <w:rFonts w:ascii="Arial" w:eastAsia="Times New Roman" w:hAnsi="Arial" w:cs="Arial"/>
                <w:bCs/>
                <w:szCs w:val="24"/>
              </w:rPr>
            </w:pPr>
          </w:p>
          <w:p w:rsidR="001C7402" w:rsidRPr="007D4104" w:rsidRDefault="001C7402" w:rsidP="007D4104">
            <w:pPr>
              <w:spacing w:after="0" w:line="240" w:lineRule="auto"/>
              <w:rPr>
                <w:rFonts w:ascii="Arial" w:eastAsia="Calibri" w:hAnsi="Arial" w:cs="Arial"/>
                <w:color w:val="0000FF"/>
                <w:szCs w:val="24"/>
                <w:u w:val="single"/>
              </w:rPr>
            </w:pPr>
            <w:r w:rsidRPr="007D4104">
              <w:rPr>
                <w:rFonts w:ascii="Arial" w:eastAsia="Times New Roman" w:hAnsi="Arial" w:cs="Arial"/>
                <w:b/>
                <w:bCs/>
                <w:i/>
                <w:szCs w:val="24"/>
              </w:rPr>
              <w:t>Source</w:t>
            </w:r>
            <w:r w:rsidRPr="007D4104">
              <w:rPr>
                <w:rFonts w:ascii="Arial" w:eastAsia="Times New Roman" w:hAnsi="Arial" w:cs="Arial"/>
                <w:bCs/>
                <w:szCs w:val="24"/>
              </w:rPr>
              <w:t>: (ARV) Page 207-220;</w:t>
            </w:r>
            <w:r w:rsidRPr="007D4104">
              <w:rPr>
                <w:rFonts w:ascii="Arial" w:eastAsia="Calibri" w:hAnsi="Arial" w:cs="Arial"/>
                <w:color w:val="000000"/>
                <w:szCs w:val="24"/>
              </w:rPr>
              <w:t xml:space="preserve"> </w:t>
            </w:r>
            <w:hyperlink r:id="rId27" w:history="1">
              <w:r w:rsidRPr="007D4104">
                <w:rPr>
                  <w:rFonts w:ascii="Arial" w:eastAsia="Calibri" w:hAnsi="Arial" w:cs="Arial"/>
                  <w:color w:val="0000FF"/>
                  <w:szCs w:val="24"/>
                  <w:u w:val="single"/>
                </w:rPr>
                <w:t>https://hab.hrsa.gov/sites/default/files/hab/clinical-quality-management/2014guide.pdf</w:t>
              </w:r>
            </w:hyperlink>
          </w:p>
          <w:p w:rsidR="009724C7" w:rsidRPr="007D4104" w:rsidRDefault="009724C7" w:rsidP="007D4104">
            <w:pPr>
              <w:spacing w:after="0" w:line="240" w:lineRule="auto"/>
              <w:jc w:val="both"/>
              <w:rPr>
                <w:rFonts w:ascii="Arial" w:eastAsia="Calibri" w:hAnsi="Arial" w:cs="Arial"/>
                <w:color w:val="000000"/>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1.g</w:t>
            </w:r>
          </w:p>
        </w:tc>
        <w:tc>
          <w:tcPr>
            <w:tcW w:w="4050" w:type="dxa"/>
            <w:gridSpan w:val="2"/>
            <w:tcBorders>
              <w:top w:val="single" w:sz="12" w:space="0" w:color="17365D"/>
              <w:bottom w:val="single" w:sz="12" w:space="0" w:color="17365D"/>
            </w:tcBorders>
            <w:shd w:val="clear" w:color="auto" w:fill="auto"/>
          </w:tcPr>
          <w:p w:rsidR="001C7402" w:rsidRPr="007D4104" w:rsidRDefault="00646CD1" w:rsidP="007D4104">
            <w:pPr>
              <w:spacing w:after="0" w:line="240" w:lineRule="auto"/>
              <w:jc w:val="both"/>
              <w:rPr>
                <w:rFonts w:ascii="Arial" w:eastAsia="Calibri" w:hAnsi="Arial" w:cs="Arial"/>
                <w:color w:val="000000"/>
                <w:sz w:val="24"/>
                <w:szCs w:val="24"/>
              </w:rPr>
            </w:pPr>
            <w:r w:rsidRPr="007D4104">
              <w:rPr>
                <w:rFonts w:ascii="Arial" w:eastAsia="Calibri" w:hAnsi="Arial" w:cs="Arial"/>
                <w:color w:val="000000"/>
                <w:sz w:val="24"/>
                <w:szCs w:val="24"/>
              </w:rPr>
              <w:t>Percentages of patients, regardless of age, with a diagnosis of HIV are</w:t>
            </w:r>
            <w:r w:rsidR="001C7402" w:rsidRPr="007D4104">
              <w:rPr>
                <w:rFonts w:ascii="Arial" w:eastAsia="Calibri" w:hAnsi="Arial" w:cs="Arial"/>
                <w:color w:val="000000"/>
                <w:sz w:val="24"/>
                <w:szCs w:val="24"/>
              </w:rPr>
              <w:t xml:space="preserve"> prescribed antiretroviral therapy for the treatment of HIV infection during the measurement year. </w:t>
            </w:r>
            <w:r w:rsidR="001C7402" w:rsidRPr="007D4104">
              <w:rPr>
                <w:rFonts w:ascii="Arial" w:eastAsia="Calibri" w:hAnsi="Arial" w:cs="Arial"/>
                <w:b/>
                <w:i/>
                <w:color w:val="FF0000"/>
                <w:sz w:val="24"/>
                <w:szCs w:val="24"/>
              </w:rPr>
              <w:t>(HRSA HAB Measure)</w:t>
            </w:r>
          </w:p>
          <w:p w:rsidR="001C7402" w:rsidRPr="007D4104" w:rsidRDefault="001C7402" w:rsidP="007D4104">
            <w:pPr>
              <w:spacing w:after="0" w:line="240" w:lineRule="auto"/>
              <w:jc w:val="both"/>
              <w:rPr>
                <w:rFonts w:ascii="Arial" w:eastAsia="Calibri" w:hAnsi="Arial" w:cs="Arial"/>
                <w:color w:val="000000"/>
                <w:sz w:val="24"/>
                <w:szCs w:val="24"/>
              </w:rPr>
            </w:pPr>
          </w:p>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color w:val="000000"/>
                <w:sz w:val="24"/>
                <w:szCs w:val="24"/>
              </w:rPr>
              <w:t xml:space="preserve">Patients aged 6 weeks or older with a diagnosed of HIV/AIDS, with CD4 counts of less than 200 cells/μL or a CD percentage below 14% will be prescribed PCP prophylaxis. </w:t>
            </w:r>
            <w:r w:rsidRPr="007D4104">
              <w:rPr>
                <w:rFonts w:ascii="Arial" w:eastAsia="Calibri" w:hAnsi="Arial" w:cs="Arial"/>
                <w:b/>
                <w:i/>
                <w:color w:val="FF0000"/>
                <w:sz w:val="24"/>
                <w:szCs w:val="24"/>
              </w:rPr>
              <w:t>(HRSA HAB Measure – amended by OAHS providers in Orange County, Florida EMA)</w:t>
            </w:r>
          </w:p>
        </w:tc>
      </w:tr>
      <w:tr w:rsidR="001C7402" w:rsidRPr="001C7402" w:rsidTr="007D4104">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1.h</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
                <w:bCs/>
                <w:sz w:val="24"/>
                <w:szCs w:val="24"/>
              </w:rPr>
            </w:pPr>
            <w:r w:rsidRPr="007D4104">
              <w:rPr>
                <w:rFonts w:ascii="Arial" w:eastAsia="Calibri" w:hAnsi="Arial" w:cs="Arial"/>
                <w:b/>
                <w:bCs/>
                <w:sz w:val="24"/>
                <w:szCs w:val="24"/>
              </w:rPr>
              <w:t xml:space="preserve">Drug Resistance Testing: </w:t>
            </w:r>
            <w:r w:rsidRPr="007D4104">
              <w:rPr>
                <w:rFonts w:ascii="Arial" w:eastAsia="Calibri" w:hAnsi="Arial" w:cs="Arial"/>
                <w:sz w:val="24"/>
                <w:szCs w:val="24"/>
              </w:rPr>
              <w:t>Drug resistance testing must follow most recent, established resistance testing guidelines, including genotypic testing on all naïve patients.</w:t>
            </w:r>
          </w:p>
          <w:p w:rsidR="001C7402" w:rsidRPr="007D4104" w:rsidRDefault="001C7402" w:rsidP="007D4104">
            <w:pPr>
              <w:tabs>
                <w:tab w:val="left" w:pos="3120"/>
                <w:tab w:val="left" w:pos="6560"/>
              </w:tabs>
              <w:spacing w:after="0" w:line="240" w:lineRule="auto"/>
              <w:jc w:val="both"/>
              <w:rPr>
                <w:rFonts w:ascii="Arial" w:eastAsia="Calibri" w:hAnsi="Arial" w:cs="Arial"/>
                <w:sz w:val="24"/>
                <w:szCs w:val="24"/>
              </w:rPr>
            </w:pPr>
          </w:p>
          <w:p w:rsidR="001C7402" w:rsidRPr="007D4104" w:rsidRDefault="001C7402" w:rsidP="007D4104">
            <w:pPr>
              <w:spacing w:after="0" w:line="240" w:lineRule="auto"/>
              <w:rPr>
                <w:rFonts w:ascii="Arial" w:eastAsia="Calibri" w:hAnsi="Arial" w:cs="Arial"/>
                <w:color w:val="0000FF"/>
                <w:szCs w:val="24"/>
                <w:u w:val="single"/>
              </w:rPr>
            </w:pPr>
            <w:r w:rsidRPr="007D4104">
              <w:rPr>
                <w:rFonts w:ascii="Arial" w:eastAsia="Times New Roman" w:hAnsi="Arial" w:cs="Arial"/>
                <w:b/>
                <w:i/>
                <w:color w:val="000000"/>
                <w:szCs w:val="24"/>
              </w:rPr>
              <w:t>Source</w:t>
            </w:r>
            <w:r w:rsidRPr="007D4104">
              <w:rPr>
                <w:rFonts w:ascii="Arial" w:eastAsia="Times New Roman" w:hAnsi="Arial" w:cs="Arial"/>
                <w:b/>
                <w:color w:val="000000"/>
                <w:szCs w:val="24"/>
              </w:rPr>
              <w:t xml:space="preserve">: </w:t>
            </w:r>
            <w:r w:rsidRPr="007D4104">
              <w:rPr>
                <w:rFonts w:ascii="Arial" w:eastAsia="Times New Roman" w:hAnsi="Arial" w:cs="Arial"/>
                <w:color w:val="000000"/>
                <w:szCs w:val="24"/>
              </w:rPr>
              <w:t xml:space="preserve">Page 81; </w:t>
            </w:r>
            <w:hyperlink r:id="rId28" w:history="1">
              <w:r w:rsidRPr="007D4104">
                <w:rPr>
                  <w:rFonts w:ascii="Arial" w:eastAsia="Calibri" w:hAnsi="Arial" w:cs="Arial"/>
                  <w:color w:val="0000FF"/>
                  <w:szCs w:val="24"/>
                  <w:u w:val="single"/>
                </w:rPr>
                <w:t>https://hab.hrsa.gov/sites/default/files/hab/clinical-quality-management/2014guide.pdf</w:t>
              </w:r>
            </w:hyperlink>
          </w:p>
          <w:p w:rsidR="009724C7" w:rsidRPr="007D4104" w:rsidRDefault="009724C7" w:rsidP="007D4104">
            <w:pPr>
              <w:spacing w:after="0" w:line="240" w:lineRule="auto"/>
              <w:jc w:val="both"/>
              <w:rPr>
                <w:rFonts w:ascii="Arial" w:eastAsia="Calibri" w:hAnsi="Arial" w:cs="Arial"/>
                <w:color w:val="000000"/>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1.h</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Times New Roman" w:hAnsi="Arial" w:cs="Arial"/>
                <w:sz w:val="24"/>
                <w:szCs w:val="24"/>
              </w:rPr>
              <w:t xml:space="preserve">Percentage of patients, regardless of age, with a diagnosis of HIV who had an HIV drug resistance test performed before initiation of HIV antiretroviral therapy if therapy started during the measurement year. </w:t>
            </w:r>
            <w:r w:rsidRPr="007D4104">
              <w:rPr>
                <w:rFonts w:ascii="Arial" w:eastAsia="Times New Roman" w:hAnsi="Arial" w:cs="Arial"/>
                <w:b/>
                <w:i/>
                <w:color w:val="FF0000"/>
                <w:sz w:val="24"/>
                <w:szCs w:val="24"/>
              </w:rPr>
              <w:t>(HRSA HAB Measure)</w:t>
            </w:r>
          </w:p>
        </w:tc>
      </w:tr>
      <w:tr w:rsidR="001C7402" w:rsidRPr="001C7402" w:rsidTr="007D4104">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1.i</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
                <w:bCs/>
                <w:sz w:val="24"/>
                <w:szCs w:val="24"/>
              </w:rPr>
            </w:pPr>
            <w:r w:rsidRPr="007D4104">
              <w:rPr>
                <w:rFonts w:ascii="Arial" w:eastAsia="Calibri" w:hAnsi="Arial" w:cs="Arial"/>
                <w:b/>
                <w:bCs/>
                <w:sz w:val="24"/>
                <w:szCs w:val="24"/>
              </w:rPr>
              <w:t>Health Education/Risk Reduction:</w:t>
            </w:r>
          </w:p>
          <w:p w:rsidR="001C7402" w:rsidRPr="007D4104" w:rsidRDefault="001C7402" w:rsidP="007D4104">
            <w:pPr>
              <w:tabs>
                <w:tab w:val="left" w:pos="3120"/>
                <w:tab w:val="left" w:pos="6560"/>
              </w:tabs>
              <w:spacing w:after="0" w:line="240" w:lineRule="auto"/>
              <w:jc w:val="both"/>
              <w:rPr>
                <w:rFonts w:ascii="Arial" w:eastAsia="Calibri" w:hAnsi="Arial" w:cs="Arial"/>
                <w:bCs/>
                <w:sz w:val="24"/>
                <w:szCs w:val="24"/>
              </w:rPr>
            </w:pPr>
            <w:r w:rsidRPr="007D4104">
              <w:rPr>
                <w:rFonts w:ascii="Arial" w:eastAsia="Calibri" w:hAnsi="Arial" w:cs="Arial"/>
                <w:bCs/>
                <w:sz w:val="24"/>
                <w:szCs w:val="24"/>
              </w:rPr>
              <w:t xml:space="preserve">Health education will adhere to the most current HHS guidelines. Providers will provide routine HIV risk-reduction counseling and behavioral health counseling for HIV-infected patients. </w:t>
            </w:r>
          </w:p>
          <w:p w:rsidR="001C7402" w:rsidRPr="007D4104" w:rsidRDefault="001C7402" w:rsidP="007D4104">
            <w:pPr>
              <w:tabs>
                <w:tab w:val="left" w:pos="3120"/>
                <w:tab w:val="left" w:pos="6560"/>
              </w:tabs>
              <w:spacing w:after="0" w:line="240" w:lineRule="auto"/>
              <w:jc w:val="both"/>
              <w:rPr>
                <w:rFonts w:ascii="Arial" w:eastAsia="Calibri" w:hAnsi="Arial" w:cs="Arial"/>
                <w:bCs/>
                <w:sz w:val="24"/>
                <w:szCs w:val="24"/>
              </w:rPr>
            </w:pPr>
          </w:p>
          <w:p w:rsidR="001C7402" w:rsidRPr="007D4104" w:rsidRDefault="001C7402" w:rsidP="007D4104">
            <w:pPr>
              <w:tabs>
                <w:tab w:val="left" w:pos="3120"/>
                <w:tab w:val="left" w:pos="6560"/>
              </w:tabs>
              <w:spacing w:after="0" w:line="240" w:lineRule="auto"/>
              <w:jc w:val="both"/>
              <w:rPr>
                <w:rFonts w:ascii="Arial" w:eastAsia="Calibri" w:hAnsi="Arial" w:cs="Arial"/>
                <w:bCs/>
                <w:sz w:val="24"/>
                <w:szCs w:val="24"/>
              </w:rPr>
            </w:pPr>
            <w:r w:rsidRPr="007D4104">
              <w:rPr>
                <w:rFonts w:ascii="Arial" w:eastAsia="Calibri" w:hAnsi="Arial" w:cs="Arial"/>
                <w:bCs/>
                <w:sz w:val="24"/>
                <w:szCs w:val="24"/>
              </w:rPr>
              <w:t>Women of Child-bearing age shall receive preconception counseling.</w:t>
            </w:r>
          </w:p>
          <w:p w:rsidR="001C7402" w:rsidRPr="007D4104" w:rsidRDefault="001C7402" w:rsidP="007D4104">
            <w:pPr>
              <w:autoSpaceDE w:val="0"/>
              <w:autoSpaceDN w:val="0"/>
              <w:adjustRightInd w:val="0"/>
              <w:spacing w:after="0" w:line="240" w:lineRule="auto"/>
              <w:ind w:left="360"/>
              <w:jc w:val="both"/>
              <w:rPr>
                <w:rFonts w:ascii="Arial" w:eastAsia="MS Mincho" w:hAnsi="Arial" w:cs="Arial"/>
                <w:color w:val="000000"/>
                <w:sz w:val="24"/>
                <w:szCs w:val="24"/>
              </w:rPr>
            </w:pPr>
          </w:p>
          <w:p w:rsidR="001C7402" w:rsidRPr="00457B6E" w:rsidRDefault="001C7402" w:rsidP="007D4104">
            <w:pPr>
              <w:autoSpaceDE w:val="0"/>
              <w:autoSpaceDN w:val="0"/>
              <w:adjustRightInd w:val="0"/>
              <w:spacing w:after="0" w:line="240" w:lineRule="auto"/>
              <w:rPr>
                <w:rFonts w:ascii="Arial" w:eastAsia="MS Mincho" w:hAnsi="Arial" w:cs="Arial"/>
                <w:color w:val="000000"/>
                <w:szCs w:val="24"/>
              </w:rPr>
            </w:pPr>
            <w:r w:rsidRPr="00457B6E">
              <w:rPr>
                <w:rFonts w:ascii="Arial" w:eastAsia="MS Mincho" w:hAnsi="Arial" w:cs="Arial"/>
                <w:b/>
                <w:i/>
                <w:color w:val="000000"/>
                <w:szCs w:val="24"/>
              </w:rPr>
              <w:t>Source</w:t>
            </w:r>
            <w:r w:rsidRPr="00457B6E">
              <w:rPr>
                <w:rFonts w:ascii="Arial" w:eastAsia="MS Mincho" w:hAnsi="Arial" w:cs="Arial"/>
                <w:color w:val="000000"/>
                <w:szCs w:val="24"/>
              </w:rPr>
              <w:t xml:space="preserve">: (Smoking Cessation) page 189-196; </w:t>
            </w:r>
            <w:hyperlink r:id="rId29" w:history="1">
              <w:r w:rsidRPr="00457B6E">
                <w:rPr>
                  <w:rFonts w:ascii="Arial" w:eastAsia="MS Mincho" w:hAnsi="Arial" w:cs="Arial"/>
                  <w:color w:val="0000FF"/>
                  <w:szCs w:val="24"/>
                  <w:u w:val="single"/>
                </w:rPr>
                <w:t>https://hab.hrsa.gov/sites/default/files/hab/clinical-quality-management/2014guide.pdf</w:t>
              </w:r>
            </w:hyperlink>
          </w:p>
          <w:p w:rsidR="001C7402" w:rsidRPr="007D4104" w:rsidRDefault="001C7402" w:rsidP="007D4104">
            <w:pPr>
              <w:framePr w:hSpace="180" w:wrap="around" w:vAnchor="text" w:hAnchor="margin" w:y="241"/>
              <w:tabs>
                <w:tab w:val="left" w:pos="3120"/>
                <w:tab w:val="left" w:pos="6560"/>
              </w:tabs>
              <w:autoSpaceDE w:val="0"/>
              <w:autoSpaceDN w:val="0"/>
              <w:adjustRightInd w:val="0"/>
              <w:spacing w:after="0" w:line="240" w:lineRule="auto"/>
              <w:ind w:left="360"/>
              <w:rPr>
                <w:rFonts w:ascii="Arial" w:eastAsia="MS Mincho" w:hAnsi="Arial" w:cs="Arial"/>
                <w:bCs/>
                <w:color w:val="000000"/>
                <w:sz w:val="24"/>
                <w:szCs w:val="24"/>
              </w:rPr>
            </w:pPr>
          </w:p>
          <w:p w:rsidR="001C7402" w:rsidRPr="00457B6E" w:rsidRDefault="001C7402" w:rsidP="007D4104">
            <w:pPr>
              <w:framePr w:hSpace="180" w:wrap="around" w:vAnchor="text" w:hAnchor="margin" w:y="241"/>
              <w:tabs>
                <w:tab w:val="left" w:pos="3120"/>
                <w:tab w:val="left" w:pos="6560"/>
              </w:tabs>
              <w:spacing w:after="0" w:line="240" w:lineRule="auto"/>
              <w:rPr>
                <w:rFonts w:ascii="Arial" w:eastAsia="Calibri" w:hAnsi="Arial" w:cs="Arial"/>
                <w:color w:val="0000FF"/>
                <w:szCs w:val="24"/>
                <w:u w:val="single"/>
              </w:rPr>
            </w:pPr>
            <w:r w:rsidRPr="00457B6E">
              <w:rPr>
                <w:rFonts w:ascii="Arial" w:eastAsia="Calibri" w:hAnsi="Arial" w:cs="Arial"/>
                <w:b/>
                <w:bCs/>
                <w:i/>
                <w:szCs w:val="24"/>
              </w:rPr>
              <w:t>Source</w:t>
            </w:r>
            <w:r w:rsidRPr="00457B6E">
              <w:rPr>
                <w:rFonts w:ascii="Arial" w:eastAsia="Calibri" w:hAnsi="Arial" w:cs="Arial"/>
                <w:bCs/>
                <w:szCs w:val="24"/>
              </w:rPr>
              <w:t>: (Patient Education) Page 57-59, 89, 102, 107, 111, 126, 143-154;</w:t>
            </w:r>
            <w:r w:rsidRPr="00457B6E">
              <w:rPr>
                <w:rFonts w:ascii="Arial" w:eastAsia="Calibri" w:hAnsi="Arial" w:cs="Arial"/>
                <w:color w:val="000000"/>
                <w:szCs w:val="24"/>
              </w:rPr>
              <w:t xml:space="preserve"> </w:t>
            </w:r>
            <w:hyperlink r:id="rId30" w:history="1">
              <w:r w:rsidRPr="00457B6E">
                <w:rPr>
                  <w:rFonts w:ascii="Arial" w:eastAsia="Calibri" w:hAnsi="Arial" w:cs="Arial"/>
                  <w:color w:val="0000FF"/>
                  <w:szCs w:val="24"/>
                  <w:u w:val="single"/>
                </w:rPr>
                <w:t>https://hab.hrsa.gov/sites/default/files/hab/clinical-quality-management/2014guide.pdf</w:t>
              </w:r>
            </w:hyperlink>
          </w:p>
          <w:p w:rsidR="000D1F19" w:rsidRPr="007D4104" w:rsidRDefault="000D1F19" w:rsidP="007D4104">
            <w:pPr>
              <w:framePr w:hSpace="180" w:wrap="around" w:vAnchor="text" w:hAnchor="margin" w:y="241"/>
              <w:tabs>
                <w:tab w:val="left" w:pos="3120"/>
                <w:tab w:val="left" w:pos="6560"/>
              </w:tabs>
              <w:spacing w:after="0" w:line="240" w:lineRule="auto"/>
              <w:jc w:val="both"/>
              <w:rPr>
                <w:rFonts w:ascii="Arial" w:eastAsia="Calibri" w:hAnsi="Arial" w:cs="Arial"/>
                <w:color w:val="000000"/>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1.i</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autoSpaceDE w:val="0"/>
              <w:autoSpaceDN w:val="0"/>
              <w:adjustRightInd w:val="0"/>
              <w:spacing w:after="0" w:line="240" w:lineRule="auto"/>
              <w:jc w:val="both"/>
              <w:rPr>
                <w:rFonts w:ascii="Arial" w:eastAsia="MS Mincho" w:hAnsi="Arial" w:cs="Arial"/>
                <w:b/>
                <w:i/>
                <w:color w:val="FF0000"/>
                <w:sz w:val="24"/>
                <w:szCs w:val="24"/>
              </w:rPr>
            </w:pPr>
            <w:r w:rsidRPr="007D4104">
              <w:rPr>
                <w:rFonts w:ascii="Arial" w:eastAsia="MS Mincho" w:hAnsi="Arial" w:cs="Arial"/>
                <w:color w:val="000000"/>
                <w:sz w:val="24"/>
                <w:szCs w:val="24"/>
              </w:rPr>
              <w:t xml:space="preserve">Percentage of patients with a diagnosis of HIV who received HIV risk counseling in the measurement year.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after="0" w:line="240" w:lineRule="auto"/>
              <w:jc w:val="both"/>
              <w:rPr>
                <w:rFonts w:ascii="Arial" w:eastAsia="MS Mincho" w:hAnsi="Arial" w:cs="Arial"/>
                <w:b/>
                <w:i/>
                <w:color w:val="FF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clients aged 18 years and older who were screened for tobacco use one or more times within 24 months AND who received cessation counseling intervention if identified as a tobacco user.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Written documentation of preconception counseling.</w:t>
            </w:r>
          </w:p>
        </w:tc>
      </w:tr>
      <w:tr w:rsidR="001C7402" w:rsidRPr="001C7402" w:rsidTr="007D4104">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1.j</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
                <w:bCs/>
                <w:sz w:val="24"/>
                <w:szCs w:val="24"/>
              </w:rPr>
            </w:pPr>
            <w:r w:rsidRPr="007D4104">
              <w:rPr>
                <w:rFonts w:ascii="Arial" w:eastAsia="Calibri" w:hAnsi="Arial" w:cs="Arial"/>
                <w:b/>
                <w:bCs/>
                <w:sz w:val="24"/>
                <w:szCs w:val="24"/>
              </w:rPr>
              <w:t xml:space="preserve">Treatment Adherence: </w:t>
            </w:r>
            <w:r w:rsidRPr="007D4104">
              <w:rPr>
                <w:rFonts w:ascii="Arial" w:eastAsia="Times New Roman" w:hAnsi="Arial" w:cs="Arial"/>
                <w:color w:val="000000"/>
                <w:sz w:val="24"/>
                <w:szCs w:val="24"/>
              </w:rPr>
              <w:t>Assessment of treatment adherence and counseling will be provided that adheres to current HHS guidelines.</w:t>
            </w:r>
          </w:p>
          <w:p w:rsidR="001C7402" w:rsidRPr="007D4104" w:rsidRDefault="001C7402" w:rsidP="007D4104">
            <w:pPr>
              <w:tabs>
                <w:tab w:val="left" w:pos="3120"/>
                <w:tab w:val="left" w:pos="6560"/>
              </w:tabs>
              <w:spacing w:after="0" w:line="240" w:lineRule="auto"/>
              <w:jc w:val="both"/>
              <w:rPr>
                <w:rFonts w:ascii="Arial" w:eastAsia="Times New Roman" w:hAnsi="Arial" w:cs="Arial"/>
                <w:color w:val="000000"/>
                <w:sz w:val="24"/>
                <w:szCs w:val="24"/>
              </w:rPr>
            </w:pPr>
          </w:p>
          <w:p w:rsidR="001C7402" w:rsidRPr="007D4104" w:rsidRDefault="001C7402" w:rsidP="007D4104">
            <w:pPr>
              <w:tabs>
                <w:tab w:val="left" w:pos="3120"/>
                <w:tab w:val="left" w:pos="6560"/>
              </w:tabs>
              <w:spacing w:after="0" w:line="240" w:lineRule="auto"/>
              <w:rPr>
                <w:rFonts w:ascii="Arial" w:eastAsia="Calibri" w:hAnsi="Arial" w:cs="Arial"/>
                <w:color w:val="000000"/>
                <w:szCs w:val="24"/>
              </w:rPr>
            </w:pPr>
            <w:r w:rsidRPr="007D4104">
              <w:rPr>
                <w:rFonts w:ascii="Arial" w:eastAsia="Times New Roman" w:hAnsi="Arial" w:cs="Arial"/>
                <w:b/>
                <w:i/>
                <w:color w:val="000000"/>
                <w:szCs w:val="24"/>
              </w:rPr>
              <w:t>Source</w:t>
            </w:r>
            <w:r w:rsidRPr="007D4104">
              <w:rPr>
                <w:rFonts w:ascii="Arial" w:eastAsia="Times New Roman" w:hAnsi="Arial" w:cs="Arial"/>
                <w:color w:val="000000"/>
                <w:szCs w:val="24"/>
              </w:rPr>
              <w:t>: Page 273;</w:t>
            </w:r>
            <w:r w:rsidRPr="007D4104">
              <w:rPr>
                <w:rFonts w:ascii="Arial" w:eastAsia="Calibri" w:hAnsi="Arial" w:cs="Arial"/>
                <w:color w:val="000000"/>
                <w:szCs w:val="24"/>
              </w:rPr>
              <w:t xml:space="preserve"> </w:t>
            </w:r>
            <w:hyperlink r:id="rId31" w:history="1">
              <w:r w:rsidRPr="007D4104">
                <w:rPr>
                  <w:rFonts w:ascii="Arial" w:eastAsia="Calibri" w:hAnsi="Arial" w:cs="Arial"/>
                  <w:color w:val="0000FF"/>
                  <w:szCs w:val="24"/>
                  <w:u w:val="single"/>
                </w:rPr>
                <w:t>https://hab.hrsa.gov/sites/default/files/hab/clinical-quality-management/2014guide.pdf</w:t>
              </w:r>
            </w:hyperlink>
          </w:p>
          <w:p w:rsidR="001C7402" w:rsidRPr="007D4104" w:rsidRDefault="001C7402" w:rsidP="007D4104">
            <w:pPr>
              <w:spacing w:after="0" w:line="240" w:lineRule="auto"/>
              <w:jc w:val="both"/>
              <w:rPr>
                <w:rFonts w:ascii="Arial" w:eastAsia="Calibri" w:hAnsi="Arial" w:cs="Arial"/>
                <w:bCs/>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1.j</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Times New Roman" w:hAnsi="Arial" w:cs="Arial"/>
                <w:color w:val="000000"/>
                <w:sz w:val="24"/>
                <w:szCs w:val="24"/>
              </w:rPr>
              <w:t>Written documentation on Consumer’s record.</w:t>
            </w:r>
          </w:p>
        </w:tc>
      </w:tr>
      <w:tr w:rsidR="001C7402" w:rsidRPr="001C7402" w:rsidTr="007D4104">
        <w:trPr>
          <w:trHeight w:val="7692"/>
        </w:trPr>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1.k</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Cs/>
                <w:sz w:val="24"/>
                <w:szCs w:val="24"/>
              </w:rPr>
            </w:pPr>
            <w:r w:rsidRPr="007D4104">
              <w:rPr>
                <w:rFonts w:ascii="Arial" w:eastAsia="Calibri" w:hAnsi="Arial" w:cs="Arial"/>
                <w:b/>
                <w:bCs/>
                <w:sz w:val="24"/>
                <w:szCs w:val="24"/>
              </w:rPr>
              <w:t>Follow-up Visits</w:t>
            </w:r>
            <w:r w:rsidRPr="007D4104">
              <w:rPr>
                <w:rFonts w:ascii="Arial" w:eastAsia="Calibri" w:hAnsi="Arial" w:cs="Arial"/>
                <w:bCs/>
                <w:sz w:val="24"/>
                <w:szCs w:val="24"/>
              </w:rPr>
              <w:t xml:space="preserve">: </w:t>
            </w:r>
            <w:r w:rsidRPr="007D4104">
              <w:rPr>
                <w:rFonts w:ascii="Arial" w:eastAsia="Times New Roman" w:hAnsi="Arial" w:cs="Arial"/>
                <w:color w:val="000000"/>
                <w:sz w:val="24"/>
                <w:szCs w:val="24"/>
              </w:rPr>
              <w:t xml:space="preserve">Outpatient Medical Care will adhere to the current HHS guidelines for on-going health care. </w:t>
            </w:r>
            <w:r w:rsidRPr="007D4104">
              <w:rPr>
                <w:rFonts w:ascii="Arial" w:eastAsia="Times New Roman" w:hAnsi="Arial" w:cs="Arial"/>
                <w:sz w:val="24"/>
                <w:szCs w:val="24"/>
              </w:rPr>
              <w:t xml:space="preserve">Reassessment/reevaluation of health history, comprehensive physical examination, and annual laboratory testing should be documented in patient medical record. </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Patients receiving ARV therapy should have follow- up visits scheduled every three to four months, except at the practitioner’s discretion when a patient has demonstrated long-term stability and adherence. Patients on ART receive lipid screening annually.</w:t>
            </w:r>
          </w:p>
          <w:p w:rsidR="001C7402" w:rsidRPr="007D4104" w:rsidRDefault="001C7402" w:rsidP="007D4104">
            <w:pPr>
              <w:tabs>
                <w:tab w:val="left" w:pos="3120"/>
                <w:tab w:val="left" w:pos="6560"/>
              </w:tabs>
              <w:spacing w:after="0" w:line="240" w:lineRule="auto"/>
              <w:jc w:val="both"/>
              <w:rPr>
                <w:rFonts w:ascii="Arial" w:eastAsia="Times New Roman" w:hAnsi="Arial" w:cs="Arial"/>
                <w:color w:val="000000"/>
                <w:sz w:val="24"/>
                <w:szCs w:val="24"/>
              </w:rPr>
            </w:pPr>
          </w:p>
          <w:p w:rsidR="001C7402" w:rsidRPr="00457B6E" w:rsidRDefault="001C7402" w:rsidP="007D4104">
            <w:pPr>
              <w:tabs>
                <w:tab w:val="left" w:pos="3120"/>
                <w:tab w:val="left" w:pos="6560"/>
              </w:tabs>
              <w:spacing w:after="0" w:line="240" w:lineRule="auto"/>
              <w:rPr>
                <w:rFonts w:ascii="Arial" w:eastAsia="Calibri" w:hAnsi="Arial" w:cs="Arial"/>
                <w:color w:val="000000"/>
                <w:szCs w:val="24"/>
              </w:rPr>
            </w:pPr>
            <w:r w:rsidRPr="00457B6E">
              <w:rPr>
                <w:rFonts w:ascii="Arial" w:eastAsia="Times New Roman" w:hAnsi="Arial" w:cs="Arial"/>
                <w:b/>
                <w:i/>
                <w:color w:val="000000"/>
                <w:szCs w:val="24"/>
              </w:rPr>
              <w:t>Source</w:t>
            </w:r>
            <w:r w:rsidRPr="00457B6E">
              <w:rPr>
                <w:rFonts w:ascii="Arial" w:eastAsia="Times New Roman" w:hAnsi="Arial" w:cs="Arial"/>
                <w:color w:val="000000"/>
                <w:szCs w:val="24"/>
              </w:rPr>
              <w:t>: (Follow Up/Interim Exams and Labs) Page 79 and 91;</w:t>
            </w:r>
            <w:r w:rsidRPr="00457B6E">
              <w:rPr>
                <w:rFonts w:ascii="Arial" w:eastAsia="Calibri" w:hAnsi="Arial" w:cs="Arial"/>
                <w:color w:val="000000"/>
                <w:szCs w:val="24"/>
              </w:rPr>
              <w:t xml:space="preserve"> </w:t>
            </w:r>
            <w:hyperlink r:id="rId32" w:history="1">
              <w:r w:rsidRPr="00457B6E">
                <w:rPr>
                  <w:rFonts w:ascii="Arial" w:eastAsia="Calibri" w:hAnsi="Arial" w:cs="Arial"/>
                  <w:color w:val="0000FF"/>
                  <w:szCs w:val="24"/>
                  <w:u w:val="single"/>
                </w:rPr>
                <w:t>https://hab.hrsa.gov/sites/default/files/hab/clinical-quality-management/2014guide.pdf</w:t>
              </w:r>
            </w:hyperlink>
          </w:p>
          <w:p w:rsidR="001C7402" w:rsidRPr="00457B6E" w:rsidRDefault="001C7402" w:rsidP="007D4104">
            <w:pPr>
              <w:tabs>
                <w:tab w:val="left" w:pos="3120"/>
                <w:tab w:val="left" w:pos="6560"/>
              </w:tabs>
              <w:spacing w:after="0" w:line="240" w:lineRule="auto"/>
              <w:rPr>
                <w:rFonts w:ascii="Arial" w:eastAsia="Calibri" w:hAnsi="Arial" w:cs="Arial"/>
                <w:color w:val="000000"/>
                <w:szCs w:val="24"/>
              </w:rPr>
            </w:pPr>
          </w:p>
          <w:p w:rsidR="001C7402" w:rsidRPr="00457B6E" w:rsidRDefault="001C7402" w:rsidP="007D4104">
            <w:pPr>
              <w:tabs>
                <w:tab w:val="left" w:pos="3120"/>
                <w:tab w:val="left" w:pos="6560"/>
              </w:tabs>
              <w:spacing w:after="0" w:line="240" w:lineRule="auto"/>
              <w:rPr>
                <w:rFonts w:ascii="Arial" w:eastAsia="Calibri" w:hAnsi="Arial" w:cs="Arial"/>
                <w:color w:val="000000"/>
                <w:szCs w:val="24"/>
              </w:rPr>
            </w:pPr>
            <w:r w:rsidRPr="00457B6E">
              <w:rPr>
                <w:rFonts w:ascii="Arial" w:eastAsia="Times New Roman" w:hAnsi="Arial" w:cs="Arial"/>
                <w:b/>
                <w:i/>
                <w:color w:val="000000"/>
                <w:szCs w:val="24"/>
              </w:rPr>
              <w:t>Source:</w:t>
            </w:r>
            <w:r w:rsidRPr="00457B6E">
              <w:rPr>
                <w:rFonts w:ascii="Arial" w:eastAsia="Times New Roman" w:hAnsi="Arial" w:cs="Arial"/>
                <w:color w:val="000000"/>
                <w:szCs w:val="24"/>
              </w:rPr>
              <w:t xml:space="preserve"> (Adverse Outcomes) Page 527; </w:t>
            </w:r>
            <w:hyperlink r:id="rId33" w:history="1">
              <w:r w:rsidRPr="00457B6E">
                <w:rPr>
                  <w:rFonts w:ascii="Arial" w:eastAsia="Calibri" w:hAnsi="Arial" w:cs="Arial"/>
                  <w:color w:val="0000FF"/>
                  <w:szCs w:val="24"/>
                  <w:u w:val="single"/>
                </w:rPr>
                <w:t>https://hab.hrsa.gov/sites/default/files/hab/clinical-quality-management/2014guide.pdf</w:t>
              </w:r>
            </w:hyperlink>
          </w:p>
          <w:p w:rsidR="001C7402" w:rsidRPr="007D4104" w:rsidRDefault="001C7402" w:rsidP="007D4104">
            <w:pPr>
              <w:spacing w:after="0" w:line="240" w:lineRule="auto"/>
              <w:jc w:val="both"/>
              <w:rPr>
                <w:rFonts w:ascii="Arial" w:eastAsia="Calibri" w:hAnsi="Arial" w:cs="Arial"/>
                <w:bCs/>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1.k</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Written documentation on Consumer’s record.</w:t>
            </w: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p>
          <w:p w:rsidR="001C7402" w:rsidRPr="007D4104" w:rsidRDefault="001C7402" w:rsidP="007D4104">
            <w:pPr>
              <w:autoSpaceDE w:val="0"/>
              <w:autoSpaceDN w:val="0"/>
              <w:adjustRightInd w:val="0"/>
              <w:spacing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patients, regardless of age, with a diagnosis of HIV who had at least one medical visit in each 6-month period of the 24-month measurement period with a minimum of 60 days between medical visits.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before="240"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patients, regardless of age, with a diagnosis of HIV who did not have a medical visit in the last 6 months of the measurement year. </w:t>
            </w:r>
            <w:r w:rsidRPr="007D4104">
              <w:rPr>
                <w:rFonts w:ascii="Arial" w:eastAsia="MS Mincho" w:hAnsi="Arial" w:cs="Arial"/>
                <w:b/>
                <w:i/>
                <w:color w:val="FF0000"/>
                <w:sz w:val="24"/>
                <w:szCs w:val="24"/>
              </w:rPr>
              <w:t>(HRSA HAB Measure)</w:t>
            </w:r>
          </w:p>
          <w:p w:rsidR="001C7402" w:rsidRPr="007D4104" w:rsidRDefault="001C7402" w:rsidP="007D4104">
            <w:pPr>
              <w:autoSpaceDE w:val="0"/>
              <w:autoSpaceDN w:val="0"/>
              <w:adjustRightInd w:val="0"/>
              <w:spacing w:before="240" w:after="0" w:line="240" w:lineRule="auto"/>
              <w:jc w:val="both"/>
              <w:rPr>
                <w:rFonts w:ascii="Arial" w:eastAsia="MS Mincho" w:hAnsi="Arial" w:cs="Arial"/>
                <w:color w:val="000000"/>
                <w:sz w:val="24"/>
                <w:szCs w:val="24"/>
              </w:rPr>
            </w:pPr>
            <w:r w:rsidRPr="007D4104">
              <w:rPr>
                <w:rFonts w:ascii="Arial" w:eastAsia="MS Mincho" w:hAnsi="Arial" w:cs="Arial"/>
                <w:color w:val="000000"/>
                <w:sz w:val="24"/>
                <w:szCs w:val="24"/>
              </w:rPr>
              <w:t xml:space="preserve">Percentage of patients, regardless of age, with a diagnosis of HIV with a HIV viral load less than 200 copies/mL at last HIV viral load test during the measurement year. </w:t>
            </w:r>
            <w:r w:rsidRPr="007D4104">
              <w:rPr>
                <w:rFonts w:ascii="Arial" w:eastAsia="MS Mincho" w:hAnsi="Arial" w:cs="Arial"/>
                <w:b/>
                <w:i/>
                <w:color w:val="FF0000"/>
                <w:sz w:val="24"/>
                <w:szCs w:val="24"/>
              </w:rPr>
              <w:t>(HRSA HAB Measure)</w:t>
            </w:r>
          </w:p>
          <w:p w:rsidR="009724C7" w:rsidRPr="007D4104" w:rsidRDefault="001C7402" w:rsidP="007D4104">
            <w:pPr>
              <w:spacing w:before="240" w:after="0" w:line="240" w:lineRule="auto"/>
              <w:jc w:val="both"/>
              <w:rPr>
                <w:rFonts w:ascii="Arial" w:eastAsia="Calibri" w:hAnsi="Arial" w:cs="Arial"/>
                <w:b/>
                <w:i/>
                <w:color w:val="FF0000"/>
                <w:sz w:val="24"/>
                <w:szCs w:val="24"/>
              </w:rPr>
            </w:pPr>
            <w:r w:rsidRPr="007D4104">
              <w:rPr>
                <w:rFonts w:ascii="Arial" w:eastAsia="Calibri" w:hAnsi="Arial" w:cs="Arial"/>
                <w:sz w:val="24"/>
                <w:szCs w:val="24"/>
              </w:rPr>
              <w:t xml:space="preserve">Percentage of patients, regardless of age, with a diagnosis of HIV who were prescribed HIV antiretroviral therapy and who had a fasting lipid panel during the measurement year. </w:t>
            </w:r>
            <w:r w:rsidRPr="007D4104">
              <w:rPr>
                <w:rFonts w:ascii="Arial" w:eastAsia="Calibri" w:hAnsi="Arial" w:cs="Arial"/>
                <w:b/>
                <w:i/>
                <w:color w:val="FF0000"/>
                <w:sz w:val="24"/>
                <w:szCs w:val="24"/>
              </w:rPr>
              <w:t>(HRSA HAB Measure)</w:t>
            </w:r>
          </w:p>
          <w:p w:rsidR="000D1F19" w:rsidRPr="007D4104" w:rsidRDefault="000D1F19" w:rsidP="007D4104">
            <w:pPr>
              <w:spacing w:after="0" w:line="240" w:lineRule="auto"/>
              <w:jc w:val="both"/>
              <w:rPr>
                <w:rFonts w:ascii="Arial" w:eastAsia="Calibri" w:hAnsi="Arial" w:cs="Arial"/>
                <w:b/>
                <w:i/>
                <w:color w:val="FF0000"/>
                <w:sz w:val="24"/>
                <w:szCs w:val="24"/>
              </w:rPr>
            </w:pPr>
          </w:p>
        </w:tc>
      </w:tr>
      <w:tr w:rsidR="001C7402" w:rsidRPr="001C7402" w:rsidTr="007D4104">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1.l</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
                <w:bCs/>
                <w:sz w:val="24"/>
                <w:szCs w:val="24"/>
              </w:rPr>
            </w:pPr>
            <w:r w:rsidRPr="007D4104">
              <w:rPr>
                <w:rFonts w:ascii="Arial" w:eastAsia="Calibri" w:hAnsi="Arial" w:cs="Arial"/>
                <w:b/>
                <w:bCs/>
                <w:sz w:val="24"/>
                <w:szCs w:val="24"/>
              </w:rPr>
              <w:t xml:space="preserve">Documentation in Patients Charts: </w:t>
            </w:r>
            <w:r w:rsidRPr="007D4104">
              <w:rPr>
                <w:rFonts w:ascii="Arial" w:eastAsia="Times New Roman" w:hAnsi="Arial" w:cs="Arial"/>
                <w:bCs/>
                <w:sz w:val="24"/>
                <w:szCs w:val="24"/>
              </w:rPr>
              <w:t>Advance directives in chart or documentation that has been discussed</w:t>
            </w:r>
          </w:p>
          <w:p w:rsidR="001C7402" w:rsidRPr="007D4104" w:rsidRDefault="001C7402" w:rsidP="007D4104">
            <w:pPr>
              <w:spacing w:after="0" w:line="240" w:lineRule="auto"/>
              <w:jc w:val="both"/>
              <w:rPr>
                <w:rFonts w:ascii="Arial" w:eastAsia="Calibri" w:hAnsi="Arial" w:cs="Arial"/>
                <w:bCs/>
                <w:sz w:val="24"/>
                <w:szCs w:val="24"/>
              </w:rPr>
            </w:pPr>
          </w:p>
          <w:p w:rsidR="001C7402" w:rsidRPr="007D4104" w:rsidRDefault="001C7402" w:rsidP="007D4104">
            <w:pPr>
              <w:tabs>
                <w:tab w:val="left" w:pos="3120"/>
                <w:tab w:val="left" w:pos="6560"/>
              </w:tabs>
              <w:spacing w:after="0" w:line="240" w:lineRule="auto"/>
              <w:jc w:val="both"/>
              <w:rPr>
                <w:rFonts w:ascii="Arial" w:eastAsia="Calibri" w:hAnsi="Arial" w:cs="Arial"/>
                <w:sz w:val="24"/>
                <w:szCs w:val="24"/>
              </w:rPr>
            </w:pPr>
            <w:r w:rsidRPr="007D4104">
              <w:rPr>
                <w:rFonts w:ascii="Arial" w:eastAsia="Calibri" w:hAnsi="Arial" w:cs="Arial"/>
                <w:sz w:val="24"/>
                <w:szCs w:val="24"/>
              </w:rPr>
              <w:t>Clinicians will develop/update plan of care at each visit. Problem list documented. Organized and complete medication list including past ART.</w:t>
            </w:r>
          </w:p>
          <w:p w:rsidR="00646CD1" w:rsidRPr="007D4104" w:rsidRDefault="00646CD1" w:rsidP="007D4104">
            <w:pPr>
              <w:tabs>
                <w:tab w:val="left" w:pos="3120"/>
                <w:tab w:val="left" w:pos="6560"/>
              </w:tabs>
              <w:spacing w:after="0" w:line="240" w:lineRule="auto"/>
              <w:jc w:val="both"/>
              <w:rPr>
                <w:rFonts w:ascii="Arial" w:eastAsia="Calibri" w:hAnsi="Arial" w:cs="Arial"/>
                <w:b/>
                <w:i/>
                <w:sz w:val="24"/>
                <w:szCs w:val="24"/>
              </w:rPr>
            </w:pPr>
          </w:p>
          <w:p w:rsidR="001C7402" w:rsidRPr="00457B6E" w:rsidRDefault="001C7402" w:rsidP="007D4104">
            <w:pPr>
              <w:tabs>
                <w:tab w:val="left" w:pos="3120"/>
                <w:tab w:val="left" w:pos="6560"/>
              </w:tabs>
              <w:spacing w:after="0" w:line="240" w:lineRule="auto"/>
              <w:rPr>
                <w:rFonts w:ascii="Arial" w:eastAsia="Calibri" w:hAnsi="Arial" w:cs="Arial"/>
                <w:color w:val="0000FF"/>
                <w:szCs w:val="24"/>
                <w:u w:val="single"/>
              </w:rPr>
            </w:pPr>
            <w:r w:rsidRPr="00457B6E">
              <w:rPr>
                <w:rFonts w:ascii="Arial" w:eastAsia="Calibri" w:hAnsi="Arial" w:cs="Arial"/>
                <w:b/>
                <w:i/>
                <w:szCs w:val="24"/>
              </w:rPr>
              <w:t>Source</w:t>
            </w:r>
            <w:r w:rsidRPr="00457B6E">
              <w:rPr>
                <w:rFonts w:ascii="Arial" w:eastAsia="Calibri" w:hAnsi="Arial" w:cs="Arial"/>
                <w:szCs w:val="24"/>
              </w:rPr>
              <w:t xml:space="preserve">: Page77; </w:t>
            </w:r>
            <w:hyperlink r:id="rId34" w:history="1">
              <w:r w:rsidRPr="00457B6E">
                <w:rPr>
                  <w:rFonts w:ascii="Arial" w:eastAsia="Calibri" w:hAnsi="Arial" w:cs="Arial"/>
                  <w:color w:val="0000FF"/>
                  <w:szCs w:val="24"/>
                  <w:u w:val="single"/>
                </w:rPr>
                <w:t>https://hab.hrsa.gov/sites/default/files/hab/clinical-quality-management/2014guide.pdf</w:t>
              </w:r>
            </w:hyperlink>
          </w:p>
          <w:p w:rsidR="009724C7" w:rsidRPr="007D4104" w:rsidRDefault="009724C7" w:rsidP="007D4104">
            <w:pPr>
              <w:tabs>
                <w:tab w:val="left" w:pos="3120"/>
                <w:tab w:val="left" w:pos="6560"/>
              </w:tabs>
              <w:spacing w:after="0" w:line="240" w:lineRule="auto"/>
              <w:jc w:val="both"/>
              <w:rPr>
                <w:rFonts w:ascii="Arial" w:eastAsia="Calibri" w:hAnsi="Arial" w:cs="Arial"/>
                <w:color w:val="000000"/>
                <w:sz w:val="24"/>
                <w:szCs w:val="24"/>
              </w:rPr>
            </w:pPr>
          </w:p>
        </w:tc>
        <w:tc>
          <w:tcPr>
            <w:tcW w:w="720" w:type="dxa"/>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1.l</w:t>
            </w:r>
          </w:p>
        </w:tc>
        <w:tc>
          <w:tcPr>
            <w:tcW w:w="4050" w:type="dxa"/>
            <w:gridSpan w:val="2"/>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Written documentation on Consumer’s record.</w:t>
            </w:r>
          </w:p>
        </w:tc>
      </w:tr>
      <w:tr w:rsidR="001C7402" w:rsidRPr="001C7402" w:rsidTr="00646CD1">
        <w:tc>
          <w:tcPr>
            <w:tcW w:w="72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lastRenderedPageBreak/>
              <w:t>1.m</w:t>
            </w:r>
          </w:p>
        </w:tc>
        <w:tc>
          <w:tcPr>
            <w:tcW w:w="4068" w:type="dxa"/>
            <w:tcBorders>
              <w:top w:val="single" w:sz="12" w:space="0" w:color="17365D"/>
              <w:bottom w:val="single" w:sz="12" w:space="0" w:color="17365D"/>
              <w:right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bCs/>
                <w:sz w:val="24"/>
                <w:szCs w:val="24"/>
              </w:rPr>
            </w:pPr>
            <w:r w:rsidRPr="007D4104">
              <w:rPr>
                <w:rFonts w:ascii="Arial" w:eastAsia="Calibri" w:hAnsi="Arial" w:cs="Arial"/>
                <w:b/>
                <w:bCs/>
                <w:sz w:val="24"/>
                <w:szCs w:val="24"/>
              </w:rPr>
              <w:t>Documentation of Missed Appointments</w:t>
            </w:r>
            <w:r w:rsidRPr="007D4104">
              <w:rPr>
                <w:rFonts w:ascii="Arial" w:eastAsia="Calibri" w:hAnsi="Arial" w:cs="Arial"/>
                <w:bCs/>
                <w:sz w:val="24"/>
                <w:szCs w:val="24"/>
              </w:rPr>
              <w:t>/Efforts for Re-engagement</w:t>
            </w:r>
          </w:p>
          <w:p w:rsidR="001C7402" w:rsidRPr="007D4104" w:rsidRDefault="001C7402" w:rsidP="007D4104">
            <w:pPr>
              <w:framePr w:hSpace="180" w:wrap="around" w:vAnchor="text" w:hAnchor="margin" w:y="241"/>
              <w:tabs>
                <w:tab w:val="left" w:pos="3120"/>
                <w:tab w:val="left" w:pos="6560"/>
              </w:tabs>
              <w:spacing w:after="0" w:line="240" w:lineRule="auto"/>
              <w:jc w:val="both"/>
              <w:rPr>
                <w:rFonts w:ascii="Arial" w:eastAsia="Times New Roman" w:hAnsi="Arial" w:cs="Arial"/>
                <w:color w:val="000000"/>
                <w:sz w:val="24"/>
                <w:szCs w:val="24"/>
              </w:rPr>
            </w:pPr>
          </w:p>
          <w:p w:rsidR="009724C7" w:rsidRPr="007D4104" w:rsidRDefault="001C7402" w:rsidP="007D4104">
            <w:pPr>
              <w:framePr w:hSpace="180" w:wrap="around" w:vAnchor="text" w:hAnchor="margin" w:y="241"/>
              <w:tabs>
                <w:tab w:val="left" w:pos="3120"/>
                <w:tab w:val="left" w:pos="6560"/>
              </w:tabs>
              <w:spacing w:after="0" w:line="240" w:lineRule="auto"/>
              <w:rPr>
                <w:rFonts w:ascii="Arial" w:eastAsia="Calibri" w:hAnsi="Arial" w:cs="Arial"/>
                <w:bCs/>
                <w:sz w:val="24"/>
                <w:szCs w:val="24"/>
              </w:rPr>
            </w:pPr>
            <w:r w:rsidRPr="00457B6E">
              <w:rPr>
                <w:rFonts w:ascii="Arial" w:eastAsia="Times New Roman" w:hAnsi="Arial" w:cs="Arial"/>
                <w:b/>
                <w:i/>
                <w:color w:val="000000"/>
                <w:szCs w:val="24"/>
              </w:rPr>
              <w:t>Source</w:t>
            </w:r>
            <w:r w:rsidRPr="00457B6E">
              <w:rPr>
                <w:rFonts w:ascii="Arial" w:eastAsia="Times New Roman" w:hAnsi="Arial" w:cs="Arial"/>
                <w:color w:val="000000"/>
                <w:szCs w:val="24"/>
              </w:rPr>
              <w:t>: Page 1;</w:t>
            </w:r>
            <w:r w:rsidRPr="00457B6E">
              <w:rPr>
                <w:rFonts w:ascii="Arial" w:eastAsia="Calibri" w:hAnsi="Arial" w:cs="Arial"/>
                <w:color w:val="000000"/>
                <w:szCs w:val="24"/>
              </w:rPr>
              <w:t xml:space="preserve"> </w:t>
            </w:r>
            <w:hyperlink r:id="rId35" w:history="1">
              <w:r w:rsidRPr="00457B6E">
                <w:rPr>
                  <w:rFonts w:ascii="Arial" w:eastAsia="Calibri" w:hAnsi="Arial" w:cs="Arial"/>
                  <w:color w:val="0000FF"/>
                  <w:szCs w:val="24"/>
                  <w:u w:val="single"/>
                </w:rPr>
                <w:t>https://hab.hrsa.gov/sites/default/files/hab/clinical-quality-management/2014guide.pdf</w:t>
              </w:r>
            </w:hyperlink>
          </w:p>
        </w:tc>
        <w:tc>
          <w:tcPr>
            <w:tcW w:w="810" w:type="dxa"/>
            <w:gridSpan w:val="2"/>
            <w:tcBorders>
              <w:top w:val="single" w:sz="12" w:space="0" w:color="17365D"/>
              <w:left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Calibri" w:hAnsi="Arial" w:cs="Arial"/>
                <w:sz w:val="24"/>
                <w:szCs w:val="24"/>
              </w:rPr>
              <w:t>1.m</w:t>
            </w:r>
          </w:p>
        </w:tc>
        <w:tc>
          <w:tcPr>
            <w:tcW w:w="3960" w:type="dxa"/>
            <w:tcBorders>
              <w:top w:val="single" w:sz="12" w:space="0" w:color="17365D"/>
              <w:bottom w:val="single" w:sz="12" w:space="0" w:color="17365D"/>
            </w:tcBorders>
            <w:shd w:val="clear" w:color="auto" w:fill="auto"/>
          </w:tcPr>
          <w:p w:rsidR="001C7402" w:rsidRPr="007D4104" w:rsidRDefault="001C7402" w:rsidP="007D4104">
            <w:pPr>
              <w:spacing w:after="0" w:line="240" w:lineRule="auto"/>
              <w:jc w:val="both"/>
              <w:rPr>
                <w:rFonts w:ascii="Arial" w:eastAsia="Calibri" w:hAnsi="Arial" w:cs="Arial"/>
                <w:sz w:val="24"/>
                <w:szCs w:val="24"/>
              </w:rPr>
            </w:pPr>
            <w:r w:rsidRPr="007D4104">
              <w:rPr>
                <w:rFonts w:ascii="Arial" w:eastAsia="Times New Roman" w:hAnsi="Arial" w:cs="Arial"/>
                <w:color w:val="000000"/>
                <w:sz w:val="24"/>
                <w:szCs w:val="24"/>
              </w:rPr>
              <w:t>Written documentation on Consumer’s record.</w:t>
            </w:r>
          </w:p>
        </w:tc>
      </w:tr>
    </w:tbl>
    <w:p w:rsidR="001C7402" w:rsidRPr="001C7402" w:rsidRDefault="001C7402" w:rsidP="001C7402">
      <w:pPr>
        <w:spacing w:after="0" w:line="240" w:lineRule="auto"/>
        <w:jc w:val="both"/>
        <w:rPr>
          <w:rFonts w:ascii="Arial" w:eastAsia="Calibri" w:hAnsi="Arial" w:cs="Arial"/>
          <w:sz w:val="24"/>
        </w:rPr>
      </w:pPr>
    </w:p>
    <w:tbl>
      <w:tblPr>
        <w:tblStyle w:val="TableGrid"/>
        <w:tblW w:w="0" w:type="auto"/>
        <w:tblLook w:val="04A0" w:firstRow="1" w:lastRow="0" w:firstColumn="1" w:lastColumn="0" w:noHBand="0" w:noVBand="1"/>
      </w:tblPr>
      <w:tblGrid>
        <w:gridCol w:w="9565"/>
      </w:tblGrid>
      <w:tr w:rsidR="001C7402" w:rsidRPr="001C7402" w:rsidTr="005B5885">
        <w:trPr>
          <w:trHeight w:val="396"/>
        </w:trPr>
        <w:tc>
          <w:tcPr>
            <w:tcW w:w="9565" w:type="dxa"/>
            <w:tcBorders>
              <w:left w:val="nil"/>
              <w:bottom w:val="single" w:sz="4" w:space="0" w:color="auto"/>
              <w:right w:val="nil"/>
            </w:tcBorders>
          </w:tcPr>
          <w:p w:rsidR="001C7402" w:rsidRPr="001C7402" w:rsidRDefault="001C7402" w:rsidP="00FD2282">
            <w:pPr>
              <w:pStyle w:val="Heading3"/>
              <w:spacing w:before="0"/>
              <w:outlineLvl w:val="2"/>
              <w:rPr>
                <w:rFonts w:eastAsia="Calibri"/>
                <w:sz w:val="28"/>
              </w:rPr>
            </w:pPr>
            <w:bookmarkStart w:id="21" w:name="_Toc489280869"/>
            <w:r w:rsidRPr="001C7402">
              <w:rPr>
                <w:rFonts w:eastAsia="Calibri"/>
                <w:sz w:val="28"/>
              </w:rPr>
              <w:t xml:space="preserve">2.0 Scope of Services </w:t>
            </w:r>
            <w:r w:rsidRPr="009724C7">
              <w:rPr>
                <w:rFonts w:eastAsia="Calibri"/>
              </w:rPr>
              <w:t>(These are program specific policies and procedures)</w:t>
            </w:r>
            <w:bookmarkEnd w:id="21"/>
          </w:p>
        </w:tc>
      </w:tr>
    </w:tbl>
    <w:p w:rsidR="005B5885" w:rsidRDefault="005B5885" w:rsidP="005B5885">
      <w:pPr>
        <w:spacing w:after="0"/>
      </w:pPr>
    </w:p>
    <w:tbl>
      <w:tblPr>
        <w:tblStyle w:val="TableGrid"/>
        <w:tblW w:w="0" w:type="auto"/>
        <w:tblLook w:val="04A0" w:firstRow="1" w:lastRow="0" w:firstColumn="1" w:lastColumn="0" w:noHBand="0" w:noVBand="1"/>
      </w:tblPr>
      <w:tblGrid>
        <w:gridCol w:w="9576"/>
      </w:tblGrid>
      <w:tr w:rsidR="008D6BA9" w:rsidTr="008D6BA9">
        <w:tc>
          <w:tcPr>
            <w:tcW w:w="9576" w:type="dxa"/>
            <w:tcBorders>
              <w:top w:val="nil"/>
              <w:left w:val="nil"/>
              <w:bottom w:val="nil"/>
              <w:right w:val="nil"/>
            </w:tcBorders>
          </w:tcPr>
          <w:p w:rsidR="008D6BA9" w:rsidRDefault="008D6BA9" w:rsidP="005B5885">
            <w:pPr>
              <w:rPr>
                <w:rFonts w:cs="Arial"/>
              </w:rPr>
            </w:pPr>
            <w:r w:rsidRPr="00F50815">
              <w:rPr>
                <w:rFonts w:cs="Arial"/>
              </w:rPr>
              <w:t xml:space="preserve">Agencies shall comply with all of the requirements outlined in this Service Standard, unless otherwise specified in their contract. </w:t>
            </w:r>
          </w:p>
        </w:tc>
      </w:tr>
    </w:tbl>
    <w:p w:rsidR="008D6BA9" w:rsidRDefault="008D6BA9" w:rsidP="008D6BA9">
      <w:pPr>
        <w:spacing w:after="0"/>
      </w:pPr>
    </w:p>
    <w:tbl>
      <w:tblPr>
        <w:tblW w:w="9558" w:type="dxa"/>
        <w:tblBorders>
          <w:bottom w:val="single" w:sz="12" w:space="0" w:color="17365D"/>
          <w:insideH w:val="single" w:sz="4" w:space="0" w:color="auto"/>
          <w:insideV w:val="single" w:sz="4" w:space="0" w:color="auto"/>
        </w:tblBorders>
        <w:tblLayout w:type="fixed"/>
        <w:tblLook w:val="04A0" w:firstRow="1" w:lastRow="0" w:firstColumn="1" w:lastColumn="0" w:noHBand="0" w:noVBand="1"/>
      </w:tblPr>
      <w:tblGrid>
        <w:gridCol w:w="738"/>
        <w:gridCol w:w="4158"/>
        <w:gridCol w:w="702"/>
        <w:gridCol w:w="3960"/>
      </w:tblGrid>
      <w:tr w:rsidR="001C7402" w:rsidRPr="001C7402" w:rsidTr="00107749">
        <w:tc>
          <w:tcPr>
            <w:tcW w:w="9558" w:type="dxa"/>
            <w:gridSpan w:val="4"/>
            <w:shd w:val="clear" w:color="auto" w:fill="17365D"/>
          </w:tcPr>
          <w:p w:rsidR="001C7402" w:rsidRPr="001C7402" w:rsidRDefault="001C7402" w:rsidP="00FD2282">
            <w:pPr>
              <w:pStyle w:val="Heading4"/>
              <w:spacing w:before="0"/>
              <w:rPr>
                <w:rFonts w:eastAsia="Calibri"/>
              </w:rPr>
            </w:pPr>
            <w:r w:rsidRPr="00FD2282">
              <w:rPr>
                <w:rFonts w:eastAsia="Calibri"/>
                <w:color w:val="FFFFFF" w:themeColor="background1"/>
                <w:sz w:val="28"/>
              </w:rPr>
              <w:t>2.0 Scope of Services</w:t>
            </w:r>
          </w:p>
        </w:tc>
      </w:tr>
      <w:tr w:rsidR="00FD2282" w:rsidRPr="001C7402" w:rsidTr="00107749">
        <w:trPr>
          <w:trHeight w:val="423"/>
        </w:trPr>
        <w:tc>
          <w:tcPr>
            <w:tcW w:w="4896" w:type="dxa"/>
            <w:gridSpan w:val="2"/>
            <w:shd w:val="clear" w:color="auto" w:fill="auto"/>
          </w:tcPr>
          <w:p w:rsidR="00FD2282" w:rsidRPr="001C7402" w:rsidRDefault="00FD2282" w:rsidP="00FD2282">
            <w:pPr>
              <w:spacing w:after="0" w:line="240" w:lineRule="auto"/>
              <w:jc w:val="center"/>
              <w:rPr>
                <w:rFonts w:ascii="Arial" w:eastAsia="Calibri" w:hAnsi="Arial" w:cs="Arial"/>
                <w:b/>
                <w:sz w:val="28"/>
                <w:szCs w:val="28"/>
              </w:rPr>
            </w:pPr>
          </w:p>
        </w:tc>
        <w:tc>
          <w:tcPr>
            <w:tcW w:w="4662" w:type="dxa"/>
            <w:gridSpan w:val="2"/>
            <w:shd w:val="clear" w:color="auto" w:fill="auto"/>
          </w:tcPr>
          <w:p w:rsidR="00FD2282" w:rsidRPr="001C7402" w:rsidRDefault="00FD2282" w:rsidP="00FD2282">
            <w:pPr>
              <w:spacing w:after="0" w:line="240" w:lineRule="auto"/>
              <w:jc w:val="center"/>
              <w:rPr>
                <w:rFonts w:ascii="Arial" w:eastAsia="Calibri" w:hAnsi="Arial" w:cs="Arial"/>
                <w:b/>
                <w:sz w:val="28"/>
                <w:szCs w:val="28"/>
              </w:rPr>
            </w:pPr>
          </w:p>
        </w:tc>
      </w:tr>
      <w:tr w:rsidR="001C7402" w:rsidRPr="001C7402" w:rsidTr="00107749">
        <w:trPr>
          <w:trHeight w:val="423"/>
        </w:trPr>
        <w:tc>
          <w:tcPr>
            <w:tcW w:w="4896" w:type="dxa"/>
            <w:gridSpan w:val="2"/>
            <w:shd w:val="clear" w:color="auto" w:fill="auto"/>
          </w:tcPr>
          <w:p w:rsidR="001C7402" w:rsidRPr="007D4104" w:rsidRDefault="001C7402" w:rsidP="001C7402">
            <w:pPr>
              <w:spacing w:after="0" w:line="240" w:lineRule="auto"/>
              <w:jc w:val="center"/>
              <w:rPr>
                <w:rStyle w:val="BookTitle"/>
              </w:rPr>
            </w:pPr>
            <w:r w:rsidRPr="007D4104">
              <w:rPr>
                <w:rStyle w:val="BookTitle"/>
              </w:rPr>
              <w:t>Standards</w:t>
            </w:r>
          </w:p>
        </w:tc>
        <w:tc>
          <w:tcPr>
            <w:tcW w:w="4662" w:type="dxa"/>
            <w:gridSpan w:val="2"/>
            <w:shd w:val="clear" w:color="auto" w:fill="auto"/>
          </w:tcPr>
          <w:p w:rsidR="001C7402" w:rsidRPr="007D4104" w:rsidRDefault="001C7402" w:rsidP="001C7402">
            <w:pPr>
              <w:spacing w:after="0" w:line="240" w:lineRule="auto"/>
              <w:jc w:val="center"/>
              <w:rPr>
                <w:rStyle w:val="BookTitle"/>
              </w:rPr>
            </w:pPr>
            <w:r w:rsidRPr="007D4104">
              <w:rPr>
                <w:rStyle w:val="BookTitle"/>
              </w:rPr>
              <w:t>Measures</w:t>
            </w:r>
          </w:p>
        </w:tc>
      </w:tr>
      <w:tr w:rsidR="001C7402" w:rsidRPr="001C7402" w:rsidTr="00107749">
        <w:tc>
          <w:tcPr>
            <w:tcW w:w="738" w:type="dxa"/>
            <w:shd w:val="clear" w:color="auto" w:fill="auto"/>
          </w:tcPr>
          <w:p w:rsidR="001C7402" w:rsidRPr="00F50815" w:rsidRDefault="001C7402" w:rsidP="001C7402">
            <w:pPr>
              <w:rPr>
                <w:rFonts w:ascii="Arial" w:eastAsia="Calibri" w:hAnsi="Arial" w:cs="Arial"/>
                <w:sz w:val="24"/>
                <w:szCs w:val="20"/>
              </w:rPr>
            </w:pPr>
            <w:r w:rsidRPr="00F50815">
              <w:rPr>
                <w:rFonts w:ascii="Arial" w:eastAsia="Calibri" w:hAnsi="Arial" w:cs="Arial"/>
                <w:sz w:val="24"/>
                <w:szCs w:val="20"/>
              </w:rPr>
              <w:t>2.1</w:t>
            </w:r>
          </w:p>
        </w:tc>
        <w:tc>
          <w:tcPr>
            <w:tcW w:w="4158" w:type="dxa"/>
            <w:shd w:val="clear" w:color="auto" w:fill="auto"/>
          </w:tcPr>
          <w:p w:rsidR="001C7402" w:rsidRPr="00F50815" w:rsidRDefault="001C7402" w:rsidP="001C7402">
            <w:pPr>
              <w:spacing w:after="0" w:line="240" w:lineRule="auto"/>
              <w:rPr>
                <w:rFonts w:ascii="Arial" w:eastAsia="Calibri" w:hAnsi="Arial" w:cs="Arial"/>
                <w:bCs/>
                <w:sz w:val="24"/>
                <w:szCs w:val="20"/>
              </w:rPr>
            </w:pPr>
            <w:r w:rsidRPr="00F50815">
              <w:rPr>
                <w:rFonts w:ascii="Arial" w:eastAsia="Calibri" w:hAnsi="Arial" w:cs="Arial"/>
                <w:bCs/>
                <w:sz w:val="24"/>
                <w:szCs w:val="20"/>
              </w:rPr>
              <w:t>Agencies shall have a written policy for making specialty care referrals in relation to the HIV diagnosis and for tracking such referrals with outcomes included in the consumer record.</w:t>
            </w:r>
          </w:p>
          <w:p w:rsidR="00FD2282" w:rsidRPr="00F50815" w:rsidRDefault="00FD2282" w:rsidP="001C7402">
            <w:pPr>
              <w:spacing w:after="0" w:line="240" w:lineRule="auto"/>
              <w:rPr>
                <w:rFonts w:ascii="Arial" w:eastAsia="Calibri" w:hAnsi="Arial" w:cs="Arial"/>
                <w:bCs/>
                <w:sz w:val="24"/>
                <w:szCs w:val="20"/>
              </w:rPr>
            </w:pPr>
          </w:p>
        </w:tc>
        <w:tc>
          <w:tcPr>
            <w:tcW w:w="702" w:type="dxa"/>
            <w:tcBorders>
              <w:right w:val="nil"/>
            </w:tcBorders>
            <w:shd w:val="clear" w:color="auto" w:fill="auto"/>
          </w:tcPr>
          <w:p w:rsidR="001C7402" w:rsidRPr="00F50815" w:rsidRDefault="001C7402" w:rsidP="001C7402">
            <w:pPr>
              <w:spacing w:after="0" w:line="240" w:lineRule="auto"/>
              <w:rPr>
                <w:rFonts w:ascii="Arial" w:eastAsia="Calibri" w:hAnsi="Arial" w:cs="Arial"/>
                <w:sz w:val="24"/>
                <w:szCs w:val="20"/>
              </w:rPr>
            </w:pPr>
            <w:r w:rsidRPr="00F50815">
              <w:rPr>
                <w:rFonts w:ascii="Arial" w:eastAsia="Calibri" w:hAnsi="Arial" w:cs="Arial"/>
                <w:sz w:val="24"/>
                <w:szCs w:val="20"/>
              </w:rPr>
              <w:t>2.1</w:t>
            </w:r>
          </w:p>
        </w:tc>
        <w:tc>
          <w:tcPr>
            <w:tcW w:w="3960" w:type="dxa"/>
            <w:tcBorders>
              <w:top w:val="single" w:sz="4" w:space="0" w:color="auto"/>
              <w:left w:val="nil"/>
              <w:bottom w:val="single" w:sz="4" w:space="0" w:color="auto"/>
            </w:tcBorders>
            <w:shd w:val="clear" w:color="auto" w:fill="auto"/>
          </w:tcPr>
          <w:p w:rsidR="001C7402" w:rsidRPr="00F50815" w:rsidRDefault="001C7402" w:rsidP="001C7402">
            <w:pPr>
              <w:spacing w:after="0" w:line="240" w:lineRule="auto"/>
              <w:rPr>
                <w:rFonts w:ascii="Arial" w:eastAsia="Calibri" w:hAnsi="Arial" w:cs="Arial"/>
                <w:bCs/>
                <w:sz w:val="24"/>
                <w:szCs w:val="20"/>
              </w:rPr>
            </w:pPr>
            <w:r w:rsidRPr="00F50815">
              <w:rPr>
                <w:rFonts w:ascii="Arial" w:eastAsia="Calibri" w:hAnsi="Arial" w:cs="Arial"/>
                <w:bCs/>
                <w:sz w:val="24"/>
                <w:szCs w:val="20"/>
              </w:rPr>
              <w:t>Policies and procedures in place</w:t>
            </w:r>
          </w:p>
        </w:tc>
      </w:tr>
      <w:tr w:rsidR="008D6BA9" w:rsidRPr="001C7402" w:rsidTr="00107749">
        <w:trPr>
          <w:trHeight w:val="1320"/>
        </w:trPr>
        <w:tc>
          <w:tcPr>
            <w:tcW w:w="738" w:type="dxa"/>
            <w:shd w:val="clear" w:color="auto" w:fill="auto"/>
          </w:tcPr>
          <w:p w:rsidR="008D6BA9" w:rsidRPr="00F50815" w:rsidRDefault="008D6BA9" w:rsidP="001C7402">
            <w:pPr>
              <w:jc w:val="both"/>
              <w:rPr>
                <w:rFonts w:ascii="Arial" w:eastAsia="Calibri" w:hAnsi="Arial" w:cs="Arial"/>
                <w:bCs/>
                <w:sz w:val="24"/>
                <w:szCs w:val="20"/>
              </w:rPr>
            </w:pPr>
            <w:r w:rsidRPr="00F50815">
              <w:rPr>
                <w:rFonts w:ascii="Arial" w:eastAsia="Calibri" w:hAnsi="Arial" w:cs="Arial"/>
                <w:bCs/>
                <w:sz w:val="24"/>
                <w:szCs w:val="20"/>
              </w:rPr>
              <w:t>2.2</w:t>
            </w:r>
          </w:p>
        </w:tc>
        <w:tc>
          <w:tcPr>
            <w:tcW w:w="4158" w:type="dxa"/>
            <w:shd w:val="clear" w:color="auto" w:fill="auto"/>
          </w:tcPr>
          <w:p w:rsidR="008D6BA9" w:rsidRPr="00F50815" w:rsidRDefault="008D6BA9" w:rsidP="008D6BA9">
            <w:pPr>
              <w:pBdr>
                <w:right w:val="single" w:sz="4" w:space="4" w:color="auto"/>
              </w:pBdr>
              <w:spacing w:after="0" w:line="240" w:lineRule="auto"/>
              <w:rPr>
                <w:rFonts w:ascii="Arial" w:eastAsia="Calibri" w:hAnsi="Arial" w:cs="Arial"/>
                <w:bCs/>
                <w:sz w:val="24"/>
                <w:szCs w:val="20"/>
              </w:rPr>
            </w:pPr>
            <w:r w:rsidRPr="00F50815">
              <w:rPr>
                <w:rFonts w:ascii="Arial" w:eastAsia="Calibri" w:hAnsi="Arial" w:cs="Arial"/>
                <w:bCs/>
                <w:sz w:val="24"/>
                <w:szCs w:val="20"/>
              </w:rPr>
              <w:t>Agencies shall ensure that specialty care services are not being provided in an emergency room, hospital, nursing home or any other type of inpatient treatment center.</w:t>
            </w:r>
          </w:p>
          <w:p w:rsidR="008D6BA9" w:rsidRPr="00F50815" w:rsidRDefault="008D6BA9" w:rsidP="001C7402">
            <w:pPr>
              <w:spacing w:after="0" w:line="240" w:lineRule="auto"/>
              <w:rPr>
                <w:rFonts w:ascii="Arial" w:eastAsia="Calibri" w:hAnsi="Arial" w:cs="Arial"/>
                <w:bCs/>
                <w:sz w:val="24"/>
                <w:szCs w:val="20"/>
              </w:rPr>
            </w:pPr>
          </w:p>
        </w:tc>
        <w:tc>
          <w:tcPr>
            <w:tcW w:w="702" w:type="dxa"/>
            <w:tcBorders>
              <w:right w:val="nil"/>
            </w:tcBorders>
            <w:shd w:val="clear" w:color="auto" w:fill="auto"/>
          </w:tcPr>
          <w:p w:rsidR="008D6BA9" w:rsidRPr="00F50815" w:rsidRDefault="008D6BA9" w:rsidP="008D6BA9">
            <w:pPr>
              <w:spacing w:after="0" w:line="240" w:lineRule="auto"/>
              <w:jc w:val="both"/>
              <w:rPr>
                <w:rFonts w:ascii="Arial" w:eastAsia="Calibri" w:hAnsi="Arial" w:cs="Arial"/>
                <w:bCs/>
                <w:sz w:val="24"/>
                <w:szCs w:val="20"/>
              </w:rPr>
            </w:pPr>
            <w:r w:rsidRPr="00F50815">
              <w:rPr>
                <w:rFonts w:ascii="Arial" w:eastAsia="Calibri" w:hAnsi="Arial" w:cs="Arial"/>
                <w:bCs/>
                <w:sz w:val="24"/>
                <w:szCs w:val="20"/>
              </w:rPr>
              <w:t xml:space="preserve">2.2   </w:t>
            </w:r>
          </w:p>
        </w:tc>
        <w:tc>
          <w:tcPr>
            <w:tcW w:w="3960" w:type="dxa"/>
            <w:tcBorders>
              <w:top w:val="single" w:sz="4" w:space="0" w:color="auto"/>
              <w:left w:val="nil"/>
              <w:bottom w:val="single" w:sz="4" w:space="0" w:color="auto"/>
            </w:tcBorders>
            <w:shd w:val="clear" w:color="auto" w:fill="auto"/>
          </w:tcPr>
          <w:p w:rsidR="008D6BA9" w:rsidRPr="00F50815" w:rsidRDefault="008D6BA9" w:rsidP="00636B0D">
            <w:pPr>
              <w:spacing w:after="0" w:line="240" w:lineRule="auto"/>
              <w:jc w:val="both"/>
              <w:rPr>
                <w:rFonts w:ascii="Arial" w:eastAsia="Calibri" w:hAnsi="Arial" w:cs="Arial"/>
                <w:bCs/>
                <w:sz w:val="24"/>
                <w:szCs w:val="20"/>
              </w:rPr>
            </w:pPr>
            <w:r w:rsidRPr="00F50815">
              <w:rPr>
                <w:rFonts w:ascii="Arial" w:eastAsia="Calibri" w:hAnsi="Arial" w:cs="Arial"/>
                <w:bCs/>
                <w:sz w:val="24"/>
                <w:szCs w:val="20"/>
              </w:rPr>
              <w:t>Documentation of verification of location                  in place.</w:t>
            </w:r>
          </w:p>
        </w:tc>
      </w:tr>
      <w:tr w:rsidR="001C7402" w:rsidRPr="001C7402" w:rsidTr="00107749">
        <w:tc>
          <w:tcPr>
            <w:tcW w:w="738" w:type="dxa"/>
            <w:shd w:val="clear" w:color="auto" w:fill="auto"/>
          </w:tcPr>
          <w:p w:rsidR="001C7402" w:rsidRPr="00F50815" w:rsidRDefault="001C7402" w:rsidP="001C7402">
            <w:pPr>
              <w:rPr>
                <w:rFonts w:ascii="Arial" w:eastAsia="Calibri" w:hAnsi="Arial" w:cs="Arial"/>
                <w:sz w:val="24"/>
                <w:szCs w:val="20"/>
              </w:rPr>
            </w:pPr>
            <w:r w:rsidRPr="00F50815">
              <w:rPr>
                <w:rFonts w:ascii="Arial" w:eastAsia="Calibri" w:hAnsi="Arial" w:cs="Arial"/>
                <w:sz w:val="24"/>
                <w:szCs w:val="20"/>
              </w:rPr>
              <w:t>2.3</w:t>
            </w:r>
          </w:p>
        </w:tc>
        <w:tc>
          <w:tcPr>
            <w:tcW w:w="4158" w:type="dxa"/>
            <w:shd w:val="clear" w:color="auto" w:fill="auto"/>
          </w:tcPr>
          <w:p w:rsidR="001C7402" w:rsidRPr="00F50815" w:rsidRDefault="001C7402" w:rsidP="001C7402">
            <w:pPr>
              <w:spacing w:after="0" w:line="240" w:lineRule="auto"/>
              <w:rPr>
                <w:rFonts w:ascii="Arial" w:eastAsia="Calibri" w:hAnsi="Arial" w:cs="Arial"/>
                <w:bCs/>
                <w:sz w:val="24"/>
                <w:szCs w:val="20"/>
              </w:rPr>
            </w:pPr>
            <w:r w:rsidRPr="00F50815">
              <w:rPr>
                <w:rFonts w:ascii="Arial" w:eastAsia="Calibri" w:hAnsi="Arial" w:cs="Arial"/>
                <w:bCs/>
                <w:sz w:val="24"/>
                <w:szCs w:val="20"/>
              </w:rPr>
              <w:t>Agencies shall develop and maintain an appropriate relationship with entities that constitute key points of entry as defined by HRSA.</w:t>
            </w:r>
          </w:p>
          <w:p w:rsidR="00FD2282" w:rsidRPr="00F50815" w:rsidRDefault="00FD2282" w:rsidP="001C7402">
            <w:pPr>
              <w:spacing w:after="0" w:line="240" w:lineRule="auto"/>
              <w:rPr>
                <w:rFonts w:ascii="Arial" w:eastAsia="Calibri" w:hAnsi="Arial" w:cs="Arial"/>
                <w:bCs/>
                <w:sz w:val="24"/>
                <w:szCs w:val="20"/>
              </w:rPr>
            </w:pPr>
          </w:p>
        </w:tc>
        <w:tc>
          <w:tcPr>
            <w:tcW w:w="702" w:type="dxa"/>
            <w:tcBorders>
              <w:right w:val="nil"/>
            </w:tcBorders>
            <w:shd w:val="clear" w:color="auto" w:fill="auto"/>
          </w:tcPr>
          <w:p w:rsidR="001C7402" w:rsidRPr="00F50815" w:rsidRDefault="001C7402" w:rsidP="001C7402">
            <w:pPr>
              <w:spacing w:after="0" w:line="240" w:lineRule="auto"/>
              <w:jc w:val="both"/>
              <w:rPr>
                <w:rFonts w:ascii="Arial" w:eastAsia="Calibri" w:hAnsi="Arial" w:cs="Arial"/>
                <w:sz w:val="24"/>
                <w:szCs w:val="20"/>
              </w:rPr>
            </w:pPr>
            <w:r w:rsidRPr="00F50815">
              <w:rPr>
                <w:rFonts w:ascii="Arial" w:eastAsia="Calibri" w:hAnsi="Arial" w:cs="Arial"/>
                <w:sz w:val="24"/>
                <w:szCs w:val="20"/>
              </w:rPr>
              <w:t>2.3</w:t>
            </w:r>
          </w:p>
        </w:tc>
        <w:tc>
          <w:tcPr>
            <w:tcW w:w="3960" w:type="dxa"/>
            <w:tcBorders>
              <w:top w:val="single" w:sz="4" w:space="0" w:color="auto"/>
              <w:left w:val="nil"/>
              <w:bottom w:val="single" w:sz="4" w:space="0" w:color="auto"/>
            </w:tcBorders>
            <w:shd w:val="clear" w:color="auto" w:fill="auto"/>
          </w:tcPr>
          <w:p w:rsidR="00F50815" w:rsidRPr="00F50815" w:rsidRDefault="001C7402" w:rsidP="007D4104">
            <w:pPr>
              <w:spacing w:after="0" w:line="240" w:lineRule="auto"/>
              <w:rPr>
                <w:rFonts w:ascii="Arial" w:eastAsia="Calibri" w:hAnsi="Arial" w:cs="Arial"/>
                <w:bCs/>
                <w:sz w:val="24"/>
                <w:szCs w:val="20"/>
              </w:rPr>
            </w:pPr>
            <w:r w:rsidRPr="00F50815">
              <w:rPr>
                <w:rFonts w:ascii="Arial" w:eastAsia="Calibri" w:hAnsi="Arial" w:cs="Arial"/>
                <w:bCs/>
                <w:sz w:val="24"/>
                <w:szCs w:val="20"/>
              </w:rPr>
              <w:t>Copy of Agreement or documentation of relationship showing key points of entry on file and documented referrals from these points of entry.</w:t>
            </w:r>
          </w:p>
        </w:tc>
      </w:tr>
      <w:tr w:rsidR="001C7402" w:rsidRPr="001C7402" w:rsidTr="00107749">
        <w:tc>
          <w:tcPr>
            <w:tcW w:w="738" w:type="dxa"/>
            <w:shd w:val="clear" w:color="auto" w:fill="auto"/>
          </w:tcPr>
          <w:p w:rsidR="001C7402" w:rsidRPr="00F50815" w:rsidRDefault="001C7402" w:rsidP="001C7402">
            <w:pPr>
              <w:rPr>
                <w:rFonts w:ascii="Arial" w:eastAsia="Calibri" w:hAnsi="Arial" w:cs="Arial"/>
                <w:sz w:val="24"/>
                <w:szCs w:val="20"/>
              </w:rPr>
            </w:pPr>
            <w:r w:rsidRPr="00F50815">
              <w:rPr>
                <w:rFonts w:ascii="Arial" w:eastAsia="Calibri" w:hAnsi="Arial" w:cs="Arial"/>
                <w:sz w:val="24"/>
                <w:szCs w:val="20"/>
              </w:rPr>
              <w:t>2.4</w:t>
            </w:r>
          </w:p>
        </w:tc>
        <w:tc>
          <w:tcPr>
            <w:tcW w:w="4158" w:type="dxa"/>
            <w:shd w:val="clear" w:color="auto" w:fill="auto"/>
          </w:tcPr>
          <w:p w:rsidR="00FD2282" w:rsidRPr="00F50815" w:rsidRDefault="001C7402" w:rsidP="00F50815">
            <w:pPr>
              <w:spacing w:after="0" w:line="240" w:lineRule="auto"/>
              <w:rPr>
                <w:rFonts w:ascii="Arial" w:eastAsia="Calibri" w:hAnsi="Arial" w:cs="Arial"/>
                <w:bCs/>
                <w:sz w:val="24"/>
                <w:szCs w:val="20"/>
              </w:rPr>
            </w:pPr>
            <w:r w:rsidRPr="00F50815">
              <w:rPr>
                <w:rFonts w:ascii="Arial" w:eastAsia="Calibri" w:hAnsi="Arial" w:cs="Arial"/>
                <w:bCs/>
                <w:sz w:val="24"/>
                <w:szCs w:val="20"/>
              </w:rPr>
              <w:t xml:space="preserve">Agencies shall have written policies and procedures for emergency care and treatment and referrals. </w:t>
            </w:r>
          </w:p>
        </w:tc>
        <w:tc>
          <w:tcPr>
            <w:tcW w:w="702" w:type="dxa"/>
            <w:tcBorders>
              <w:right w:val="nil"/>
            </w:tcBorders>
            <w:shd w:val="clear" w:color="auto" w:fill="auto"/>
          </w:tcPr>
          <w:p w:rsidR="001C7402" w:rsidRPr="00F50815" w:rsidRDefault="001C7402" w:rsidP="001C7402">
            <w:pPr>
              <w:spacing w:after="0" w:line="240" w:lineRule="auto"/>
              <w:jc w:val="both"/>
              <w:rPr>
                <w:rFonts w:ascii="Arial" w:eastAsia="Calibri" w:hAnsi="Arial" w:cs="Arial"/>
                <w:sz w:val="24"/>
                <w:szCs w:val="20"/>
              </w:rPr>
            </w:pPr>
            <w:r w:rsidRPr="00F50815">
              <w:rPr>
                <w:rFonts w:ascii="Arial" w:eastAsia="Calibri" w:hAnsi="Arial" w:cs="Arial"/>
                <w:sz w:val="24"/>
                <w:szCs w:val="20"/>
              </w:rPr>
              <w:t>2.4</w:t>
            </w:r>
          </w:p>
        </w:tc>
        <w:tc>
          <w:tcPr>
            <w:tcW w:w="3960" w:type="dxa"/>
            <w:tcBorders>
              <w:top w:val="single" w:sz="4" w:space="0" w:color="auto"/>
              <w:left w:val="nil"/>
              <w:bottom w:val="single" w:sz="12" w:space="0" w:color="17365D"/>
            </w:tcBorders>
            <w:shd w:val="clear" w:color="auto" w:fill="auto"/>
          </w:tcPr>
          <w:p w:rsidR="001C7402" w:rsidRPr="00F50815" w:rsidRDefault="001C7402" w:rsidP="001C7402">
            <w:pPr>
              <w:spacing w:after="0" w:line="240" w:lineRule="auto"/>
              <w:rPr>
                <w:rFonts w:ascii="Arial" w:eastAsia="Calibri" w:hAnsi="Arial" w:cs="Arial"/>
                <w:bCs/>
                <w:sz w:val="24"/>
                <w:szCs w:val="20"/>
              </w:rPr>
            </w:pPr>
            <w:r w:rsidRPr="00F50815">
              <w:rPr>
                <w:rFonts w:ascii="Arial" w:eastAsia="Calibri" w:hAnsi="Arial" w:cs="Arial"/>
                <w:bCs/>
                <w:sz w:val="24"/>
                <w:szCs w:val="20"/>
              </w:rPr>
              <w:t>Policies and procedures in place</w:t>
            </w:r>
          </w:p>
        </w:tc>
      </w:tr>
    </w:tbl>
    <w:p w:rsidR="00456EA7" w:rsidRDefault="00456EA7" w:rsidP="0016057D">
      <w:pPr>
        <w:pStyle w:val="Heading2"/>
        <w:spacing w:before="0"/>
        <w:jc w:val="center"/>
        <w:rPr>
          <w:b w:val="0"/>
        </w:rPr>
        <w:sectPr w:rsidR="00456EA7" w:rsidSect="00B30500">
          <w:footerReference w:type="default" r:id="rId36"/>
          <w:footerReference w:type="first" r:id="rId37"/>
          <w:pgSz w:w="12240" w:h="15840" w:code="1"/>
          <w:pgMar w:top="1296" w:right="1440" w:bottom="1296" w:left="1440" w:header="720" w:footer="432" w:gutter="0"/>
          <w:cols w:space="720"/>
          <w:titlePg/>
          <w:docGrid w:linePitch="360"/>
        </w:sectPr>
      </w:pPr>
      <w:bookmarkStart w:id="22" w:name="_AIDS_Pharmaceutical_Assistance"/>
      <w:bookmarkEnd w:id="22"/>
    </w:p>
    <w:p w:rsidR="00456EA7" w:rsidRDefault="00456EA7" w:rsidP="0016057D">
      <w:pPr>
        <w:pStyle w:val="Heading2"/>
        <w:spacing w:before="0"/>
        <w:jc w:val="center"/>
        <w:rPr>
          <w:b w:val="0"/>
        </w:rPr>
        <w:sectPr w:rsidR="00456EA7" w:rsidSect="00B30500">
          <w:footerReference w:type="default" r:id="rId38"/>
          <w:footerReference w:type="first" r:id="rId39"/>
          <w:pgSz w:w="12240" w:h="15840" w:code="1"/>
          <w:pgMar w:top="1296" w:right="1440" w:bottom="1296" w:left="1440" w:header="720" w:footer="432"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576"/>
      </w:tblGrid>
      <w:tr w:rsidR="00CF6308" w:rsidRPr="00457B6E" w:rsidTr="005E5FC3">
        <w:tc>
          <w:tcPr>
            <w:tcW w:w="9576" w:type="dxa"/>
            <w:shd w:val="clear" w:color="auto" w:fill="17365D" w:themeFill="text2" w:themeFillShade="BF"/>
            <w:vAlign w:val="center"/>
          </w:tcPr>
          <w:p w:rsidR="00CF6308" w:rsidRPr="00457B6E" w:rsidRDefault="00FD2282" w:rsidP="0016057D">
            <w:pPr>
              <w:pStyle w:val="Heading2"/>
              <w:spacing w:before="0"/>
              <w:jc w:val="center"/>
              <w:outlineLvl w:val="1"/>
              <w:rPr>
                <w:highlight w:val="yellow"/>
              </w:rPr>
            </w:pPr>
            <w:r>
              <w:rPr>
                <w:b w:val="0"/>
              </w:rPr>
              <w:lastRenderedPageBreak/>
              <w:br w:type="page"/>
            </w:r>
            <w:r>
              <w:br w:type="page"/>
            </w:r>
            <w:r w:rsidR="00BD73B0" w:rsidRPr="00B26D67">
              <w:rPr>
                <w:color w:val="FFFFFF" w:themeColor="background1"/>
                <w:sz w:val="32"/>
              </w:rPr>
              <w:t xml:space="preserve"> </w:t>
            </w:r>
            <w:bookmarkStart w:id="23" w:name="_Toc489280870"/>
            <w:r w:rsidR="00B26D67" w:rsidRPr="00B26D67">
              <w:rPr>
                <w:color w:val="auto"/>
                <w:sz w:val="32"/>
              </w:rPr>
              <w:t xml:space="preserve">Local </w:t>
            </w:r>
            <w:r w:rsidR="00BD73B0" w:rsidRPr="00B26D67">
              <w:rPr>
                <w:color w:val="auto"/>
                <w:sz w:val="32"/>
              </w:rPr>
              <w:t>Pharmac</w:t>
            </w:r>
            <w:r w:rsidR="00B26D67">
              <w:rPr>
                <w:color w:val="auto"/>
                <w:sz w:val="32"/>
              </w:rPr>
              <w:t>y</w:t>
            </w:r>
            <w:r w:rsidR="00BD73B0" w:rsidRPr="00B26D67">
              <w:rPr>
                <w:color w:val="auto"/>
                <w:sz w:val="32"/>
              </w:rPr>
              <w:t xml:space="preserve"> Assistance </w:t>
            </w:r>
            <w:r w:rsidR="00B26D67">
              <w:rPr>
                <w:color w:val="auto"/>
                <w:sz w:val="32"/>
              </w:rPr>
              <w:t>Program</w:t>
            </w:r>
            <w:bookmarkEnd w:id="23"/>
          </w:p>
        </w:tc>
      </w:tr>
    </w:tbl>
    <w:p w:rsidR="00246355" w:rsidRDefault="00246355" w:rsidP="00B643CB">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16057D" w:rsidTr="0016057D">
        <w:tc>
          <w:tcPr>
            <w:tcW w:w="9576" w:type="dxa"/>
            <w:tcBorders>
              <w:top w:val="nil"/>
              <w:left w:val="nil"/>
              <w:bottom w:val="nil"/>
              <w:right w:val="nil"/>
            </w:tcBorders>
          </w:tcPr>
          <w:p w:rsidR="000B1635" w:rsidRPr="000B1635" w:rsidRDefault="000B1635" w:rsidP="000B1635">
            <w:pPr>
              <w:rPr>
                <w:rFonts w:cs="Arial"/>
                <w:b/>
              </w:rPr>
            </w:pPr>
          </w:p>
          <w:p w:rsidR="000B1635" w:rsidRPr="000B1635" w:rsidRDefault="000B1635" w:rsidP="000B1635">
            <w:pPr>
              <w:rPr>
                <w:rFonts w:cs="Arial"/>
              </w:rPr>
            </w:pPr>
            <w:r w:rsidRPr="000B1635">
              <w:rPr>
                <w:rFonts w:cs="Arial"/>
                <w:b/>
              </w:rPr>
              <w:t xml:space="preserve">Definition: </w:t>
            </w:r>
            <w:r w:rsidRPr="000B1635">
              <w:rPr>
                <w:rFonts w:cs="Arial"/>
              </w:rPr>
              <w:t>Local Pharmaceutical Assistance Program (LPAP) is operated by a RWHAP Part A or B recipient or sub-recipient as a supplemental means of providing medication assistance when an ADAP has a restricted formulary, waiting list and/or restricted financial eligibility criteria.</w:t>
            </w:r>
          </w:p>
          <w:p w:rsidR="000B1635" w:rsidRPr="000B1635" w:rsidRDefault="000B1635" w:rsidP="000B1635">
            <w:pPr>
              <w:rPr>
                <w:rFonts w:cs="Arial"/>
              </w:rPr>
            </w:pPr>
          </w:p>
          <w:p w:rsidR="000B1635" w:rsidRPr="000B1635" w:rsidRDefault="000B1635" w:rsidP="000B1635">
            <w:pPr>
              <w:rPr>
                <w:rFonts w:cs="Arial"/>
              </w:rPr>
            </w:pPr>
            <w:r w:rsidRPr="000B1635">
              <w:rPr>
                <w:rFonts w:cs="Arial"/>
              </w:rPr>
              <w:t>RWHAP Part A or B recipients using the LPAP service category must establish the following:</w:t>
            </w:r>
          </w:p>
          <w:p w:rsidR="000B1635" w:rsidRDefault="000B1635" w:rsidP="000B1635">
            <w:pPr>
              <w:pStyle w:val="ListParagraph"/>
              <w:numPr>
                <w:ilvl w:val="0"/>
                <w:numId w:val="125"/>
              </w:numPr>
              <w:rPr>
                <w:rFonts w:cs="Arial"/>
              </w:rPr>
            </w:pPr>
            <w:r w:rsidRPr="000B1635">
              <w:rPr>
                <w:rFonts w:cs="Arial"/>
              </w:rPr>
              <w:t>Uniform benefits for all enrolled clients throughout the service area</w:t>
            </w:r>
          </w:p>
          <w:p w:rsidR="000B1635" w:rsidRPr="000B1635" w:rsidRDefault="000B1635" w:rsidP="000B1635">
            <w:pPr>
              <w:pStyle w:val="ListParagraph"/>
              <w:numPr>
                <w:ilvl w:val="0"/>
                <w:numId w:val="125"/>
              </w:numPr>
              <w:rPr>
                <w:rFonts w:cs="Arial"/>
              </w:rPr>
            </w:pPr>
            <w:r w:rsidRPr="000B1635">
              <w:rPr>
                <w:rFonts w:cs="Arial"/>
              </w:rPr>
              <w:t>A recordkeeping system for distributed medications</w:t>
            </w:r>
          </w:p>
          <w:p w:rsidR="000B1635" w:rsidRPr="000B1635" w:rsidRDefault="000B1635" w:rsidP="000B1635">
            <w:pPr>
              <w:pStyle w:val="ListParagraph"/>
              <w:numPr>
                <w:ilvl w:val="0"/>
                <w:numId w:val="20"/>
              </w:numPr>
              <w:rPr>
                <w:rFonts w:cs="Arial"/>
              </w:rPr>
            </w:pPr>
            <w:r w:rsidRPr="000B1635">
              <w:rPr>
                <w:rFonts w:cs="Arial"/>
              </w:rPr>
              <w:t>An LPAP advisory board</w:t>
            </w:r>
          </w:p>
          <w:p w:rsidR="000B1635" w:rsidRPr="000B1635" w:rsidRDefault="000B1635" w:rsidP="000B1635">
            <w:pPr>
              <w:pStyle w:val="ListParagraph"/>
              <w:numPr>
                <w:ilvl w:val="0"/>
                <w:numId w:val="20"/>
              </w:numPr>
              <w:rPr>
                <w:rFonts w:cs="Arial"/>
              </w:rPr>
            </w:pPr>
            <w:r w:rsidRPr="000B1635">
              <w:rPr>
                <w:rFonts w:cs="Arial"/>
              </w:rPr>
              <w:t>A drug formulary approved by the local advisory committee/board</w:t>
            </w:r>
          </w:p>
          <w:p w:rsidR="000B1635" w:rsidRPr="000B1635" w:rsidRDefault="000B1635" w:rsidP="000B1635">
            <w:pPr>
              <w:pStyle w:val="ListParagraph"/>
              <w:numPr>
                <w:ilvl w:val="0"/>
                <w:numId w:val="20"/>
              </w:numPr>
              <w:rPr>
                <w:rFonts w:cs="Arial"/>
              </w:rPr>
            </w:pPr>
            <w:r w:rsidRPr="000B1635">
              <w:rPr>
                <w:rFonts w:cs="Arial"/>
              </w:rPr>
              <w:t>A drug distribution system</w:t>
            </w:r>
          </w:p>
          <w:p w:rsidR="000B1635" w:rsidRPr="000B1635" w:rsidRDefault="000B1635" w:rsidP="000B1635">
            <w:pPr>
              <w:pStyle w:val="ListParagraph"/>
              <w:numPr>
                <w:ilvl w:val="0"/>
                <w:numId w:val="125"/>
              </w:numPr>
              <w:rPr>
                <w:rFonts w:cs="Arial"/>
              </w:rPr>
            </w:pPr>
            <w:r w:rsidRPr="000B1635">
              <w:rPr>
                <w:rFonts w:cs="Arial"/>
              </w:rPr>
              <w:t>A client enrollment and eligibility determination process that includes screening    for ADAP and LPAP eligibility with rescreening at minimum of every six months</w:t>
            </w:r>
          </w:p>
          <w:p w:rsidR="000B1635" w:rsidRPr="000B1635" w:rsidRDefault="000B1635" w:rsidP="000B1635">
            <w:pPr>
              <w:pStyle w:val="ListParagraph"/>
              <w:numPr>
                <w:ilvl w:val="0"/>
                <w:numId w:val="20"/>
              </w:numPr>
              <w:rPr>
                <w:rFonts w:cs="Arial"/>
              </w:rPr>
            </w:pPr>
            <w:r w:rsidRPr="000B1635">
              <w:rPr>
                <w:rFonts w:cs="Arial"/>
              </w:rPr>
              <w:t>Coordination with the state’s RWHAP Part B ADAP</w:t>
            </w:r>
          </w:p>
          <w:p w:rsidR="000B1635" w:rsidRPr="000B1635" w:rsidRDefault="000B1635" w:rsidP="000B1635">
            <w:pPr>
              <w:pStyle w:val="ListParagraph"/>
              <w:numPr>
                <w:ilvl w:val="1"/>
                <w:numId w:val="20"/>
              </w:numPr>
              <w:rPr>
                <w:rFonts w:cs="Arial"/>
              </w:rPr>
            </w:pPr>
            <w:r w:rsidRPr="000B1635">
              <w:rPr>
                <w:rFonts w:cs="Arial"/>
              </w:rPr>
              <w:t>A statement of need should specify restrictions of the state</w:t>
            </w:r>
            <w:r>
              <w:rPr>
                <w:rFonts w:cs="Arial"/>
              </w:rPr>
              <w:t xml:space="preserve"> </w:t>
            </w:r>
            <w:r w:rsidRPr="000B1635">
              <w:rPr>
                <w:rFonts w:cs="Arial"/>
              </w:rPr>
              <w:t>ADAP and the need for the LPAP</w:t>
            </w:r>
          </w:p>
          <w:p w:rsidR="000B1635" w:rsidRPr="000B1635" w:rsidRDefault="000B1635" w:rsidP="000B1635">
            <w:pPr>
              <w:pStyle w:val="ListParagraph"/>
              <w:numPr>
                <w:ilvl w:val="0"/>
                <w:numId w:val="20"/>
              </w:numPr>
              <w:rPr>
                <w:rFonts w:cs="Arial"/>
              </w:rPr>
            </w:pPr>
            <w:r w:rsidRPr="000B1635">
              <w:rPr>
                <w:rFonts w:cs="Arial"/>
              </w:rPr>
              <w:t>Implementation in accordance with requirements of the 340B Drug Pricing Program and the Prime Vendor Program.</w:t>
            </w:r>
          </w:p>
          <w:p w:rsidR="000B1635" w:rsidRPr="000B1635" w:rsidRDefault="000B1635" w:rsidP="000B1635">
            <w:pPr>
              <w:rPr>
                <w:rFonts w:cs="Arial"/>
              </w:rPr>
            </w:pPr>
          </w:p>
          <w:p w:rsidR="000B1635" w:rsidRPr="000B1635" w:rsidRDefault="000B1635" w:rsidP="000B1635">
            <w:pPr>
              <w:rPr>
                <w:rFonts w:cs="Arial"/>
              </w:rPr>
            </w:pPr>
            <w:r w:rsidRPr="000B1635">
              <w:rPr>
                <w:rFonts w:cs="Arial"/>
              </w:rPr>
              <w:t>Only RWHAP Part A grant award funds or Part B Base award funds may be used to support an LPAP. ADAP funds may not be used for LPAP support. LPAP funds are not to be used for Emergency Financial Assistance. Emergency Financial Assistance may assist with medications not covered by the LPAP.</w:t>
            </w:r>
          </w:p>
          <w:p w:rsidR="000B1635" w:rsidRPr="000B1635" w:rsidRDefault="000B1635" w:rsidP="000B1635">
            <w:pPr>
              <w:rPr>
                <w:rFonts w:cs="Arial"/>
              </w:rPr>
            </w:pPr>
          </w:p>
          <w:p w:rsidR="0016057D" w:rsidRDefault="000B1635" w:rsidP="000B1635">
            <w:pPr>
              <w:rPr>
                <w:rFonts w:cs="Arial"/>
              </w:rPr>
            </w:pPr>
            <w:r w:rsidRPr="000B1635">
              <w:rPr>
                <w:rFonts w:cs="Arial"/>
                <w:b/>
              </w:rPr>
              <w:t>Eligibility:</w:t>
            </w:r>
            <w:r w:rsidRPr="000B1635">
              <w:rPr>
                <w:rFonts w:cs="Arial"/>
              </w:rPr>
              <w:t xml:space="preserve"> Consumers shall meet eligibility requirements as defined in the System-Wide Standards of Care.</w:t>
            </w:r>
          </w:p>
        </w:tc>
      </w:tr>
    </w:tbl>
    <w:p w:rsidR="0016057D" w:rsidRPr="0016057D" w:rsidRDefault="0016057D" w:rsidP="00B643CB">
      <w:pPr>
        <w:spacing w:after="0" w:line="240" w:lineRule="auto"/>
        <w:jc w:val="both"/>
        <w:rPr>
          <w:rFonts w:ascii="Arial" w:hAnsi="Arial" w:cs="Arial"/>
          <w:sz w:val="24"/>
        </w:rPr>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9576"/>
      </w:tblGrid>
      <w:tr w:rsidR="00D0706E" w:rsidRPr="0016057D" w:rsidTr="00D0706E">
        <w:tc>
          <w:tcPr>
            <w:tcW w:w="9576" w:type="dxa"/>
            <w:tcBorders>
              <w:top w:val="single" w:sz="12" w:space="0" w:color="17365D" w:themeColor="text2" w:themeShade="BF"/>
              <w:left w:val="nil"/>
              <w:bottom w:val="single" w:sz="12" w:space="0" w:color="17365D" w:themeColor="text2" w:themeShade="BF"/>
              <w:right w:val="nil"/>
            </w:tcBorders>
          </w:tcPr>
          <w:p w:rsidR="00D0706E" w:rsidRPr="0016057D" w:rsidRDefault="00D0706E" w:rsidP="0016057D">
            <w:pPr>
              <w:pStyle w:val="Heading3"/>
              <w:spacing w:before="0"/>
              <w:outlineLvl w:val="2"/>
              <w:rPr>
                <w:sz w:val="28"/>
              </w:rPr>
            </w:pPr>
            <w:bookmarkStart w:id="24" w:name="_Toc489280871"/>
            <w:r w:rsidRPr="0016057D">
              <w:rPr>
                <w:sz w:val="28"/>
              </w:rPr>
              <w:t>1.0 Agency Policies and Procedures</w:t>
            </w:r>
            <w:bookmarkEnd w:id="24"/>
          </w:p>
        </w:tc>
      </w:tr>
    </w:tbl>
    <w:p w:rsidR="0016057D" w:rsidRDefault="0016057D" w:rsidP="00B643CB">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16057D" w:rsidTr="0016057D">
        <w:tc>
          <w:tcPr>
            <w:tcW w:w="9576" w:type="dxa"/>
            <w:tcBorders>
              <w:top w:val="nil"/>
              <w:left w:val="nil"/>
              <w:bottom w:val="nil"/>
              <w:right w:val="nil"/>
            </w:tcBorders>
          </w:tcPr>
          <w:p w:rsidR="0016057D" w:rsidRDefault="000B1635" w:rsidP="0016057D">
            <w:pPr>
              <w:rPr>
                <w:rFonts w:cs="Arial"/>
              </w:rPr>
            </w:pPr>
            <w:r w:rsidRPr="000B1635">
              <w:rPr>
                <w:rFonts w:cs="Arial"/>
              </w:rPr>
              <w:t>The agencies shall have Policies and Procedures to ensure that the services are accessible to all eligible consumers. Each agency’s policies and procedures shall ensure compliance with the following Standards.</w:t>
            </w:r>
          </w:p>
        </w:tc>
      </w:tr>
    </w:tbl>
    <w:p w:rsidR="0016057D" w:rsidRDefault="0016057D" w:rsidP="00B643CB">
      <w:pPr>
        <w:spacing w:after="0" w:line="240" w:lineRule="auto"/>
        <w:jc w:val="both"/>
        <w:rPr>
          <w:rFonts w:ascii="Arial" w:hAnsi="Arial" w:cs="Arial"/>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D0706E" w:rsidRPr="0016057D" w:rsidTr="0016057D">
        <w:tc>
          <w:tcPr>
            <w:tcW w:w="9558" w:type="dxa"/>
            <w:gridSpan w:val="6"/>
            <w:shd w:val="clear" w:color="auto" w:fill="17365D" w:themeFill="text2" w:themeFillShade="BF"/>
          </w:tcPr>
          <w:p w:rsidR="00D0706E" w:rsidRPr="0016057D" w:rsidRDefault="00D0706E" w:rsidP="0016057D">
            <w:pPr>
              <w:pStyle w:val="Heading4"/>
              <w:spacing w:before="0"/>
              <w:outlineLvl w:val="3"/>
              <w:rPr>
                <w:bCs/>
              </w:rPr>
            </w:pPr>
            <w:r w:rsidRPr="0016057D">
              <w:rPr>
                <w:color w:val="FFFFFF" w:themeColor="background1"/>
                <w:sz w:val="28"/>
              </w:rPr>
              <w:t>1.0 Agency Policies and Procedures</w:t>
            </w:r>
          </w:p>
        </w:tc>
      </w:tr>
      <w:tr w:rsidR="00D0706E" w:rsidRPr="0016057D" w:rsidTr="0016057D">
        <w:tc>
          <w:tcPr>
            <w:tcW w:w="720" w:type="dxa"/>
          </w:tcPr>
          <w:p w:rsidR="00D0706E" w:rsidRPr="0016057D" w:rsidRDefault="00D0706E" w:rsidP="00A4657E">
            <w:pPr>
              <w:rPr>
                <w:bCs w:val="0"/>
              </w:rPr>
            </w:pPr>
          </w:p>
        </w:tc>
        <w:tc>
          <w:tcPr>
            <w:tcW w:w="4176" w:type="dxa"/>
            <w:gridSpan w:val="2"/>
          </w:tcPr>
          <w:p w:rsidR="00D0706E" w:rsidRPr="0016057D" w:rsidRDefault="00D0706E" w:rsidP="00A4657E">
            <w:pPr>
              <w:rPr>
                <w:bCs w:val="0"/>
              </w:rPr>
            </w:pPr>
          </w:p>
        </w:tc>
        <w:tc>
          <w:tcPr>
            <w:tcW w:w="720" w:type="dxa"/>
            <w:gridSpan w:val="2"/>
          </w:tcPr>
          <w:p w:rsidR="00D0706E" w:rsidRPr="0016057D" w:rsidRDefault="00D0706E" w:rsidP="00A4657E">
            <w:pPr>
              <w:rPr>
                <w:bCs w:val="0"/>
              </w:rPr>
            </w:pPr>
          </w:p>
        </w:tc>
        <w:tc>
          <w:tcPr>
            <w:tcW w:w="3942" w:type="dxa"/>
          </w:tcPr>
          <w:p w:rsidR="00D0706E" w:rsidRPr="0016057D" w:rsidRDefault="00D0706E" w:rsidP="00A4657E">
            <w:pPr>
              <w:rPr>
                <w:bCs w:val="0"/>
              </w:rPr>
            </w:pPr>
          </w:p>
        </w:tc>
      </w:tr>
      <w:tr w:rsidR="00D0706E" w:rsidRPr="0016057D" w:rsidTr="0016057D">
        <w:tc>
          <w:tcPr>
            <w:tcW w:w="4896" w:type="dxa"/>
            <w:gridSpan w:val="3"/>
            <w:tcBorders>
              <w:bottom w:val="single" w:sz="12" w:space="0" w:color="17365D" w:themeColor="text2" w:themeShade="BF"/>
              <w:right w:val="single" w:sz="12" w:space="0" w:color="17365D" w:themeColor="text2" w:themeShade="BF"/>
            </w:tcBorders>
            <w:vAlign w:val="center"/>
          </w:tcPr>
          <w:p w:rsidR="00D0706E" w:rsidRPr="0016057D" w:rsidRDefault="00D0706E" w:rsidP="00A4657E">
            <w:pPr>
              <w:jc w:val="center"/>
              <w:rPr>
                <w:rStyle w:val="BookTitle"/>
              </w:rPr>
            </w:pPr>
            <w:r w:rsidRPr="0016057D">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D0706E" w:rsidRPr="0016057D" w:rsidRDefault="00D0706E" w:rsidP="00A4657E">
            <w:pPr>
              <w:jc w:val="center"/>
              <w:rPr>
                <w:rStyle w:val="BookTitle"/>
              </w:rPr>
            </w:pPr>
            <w:r w:rsidRPr="0016057D">
              <w:rPr>
                <w:rStyle w:val="BookTitle"/>
              </w:rPr>
              <w:t>Measures</w:t>
            </w:r>
          </w:p>
        </w:tc>
      </w:tr>
      <w:tr w:rsidR="000B1635" w:rsidRPr="0016057D" w:rsidTr="0016057D">
        <w:tc>
          <w:tcPr>
            <w:tcW w:w="738" w:type="dxa"/>
            <w:gridSpan w:val="2"/>
            <w:tcBorders>
              <w:top w:val="single" w:sz="12" w:space="0" w:color="17365D" w:themeColor="text2" w:themeShade="BF"/>
              <w:bottom w:val="single" w:sz="12" w:space="0" w:color="17365D" w:themeColor="text2" w:themeShade="BF"/>
            </w:tcBorders>
          </w:tcPr>
          <w:p w:rsidR="000B1635" w:rsidRDefault="000B1635" w:rsidP="004953A3">
            <w:pPr>
              <w:jc w:val="left"/>
              <w:rPr>
                <w:bCs w:val="0"/>
              </w:rPr>
            </w:pPr>
            <w:r>
              <w:rPr>
                <w:bCs w:val="0"/>
              </w:rPr>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vAlign w:val="center"/>
          </w:tcPr>
          <w:p w:rsidR="000B1635" w:rsidRDefault="000B1635" w:rsidP="004953A3">
            <w:pPr>
              <w:jc w:val="left"/>
            </w:pPr>
            <w:r>
              <w:t>All agencies shall comply with Florida State Statutes 465.</w:t>
            </w:r>
          </w:p>
          <w:p w:rsidR="000B1635" w:rsidRDefault="000B1635" w:rsidP="004953A3">
            <w:pPr>
              <w:jc w:val="left"/>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B1635" w:rsidRDefault="000B1635" w:rsidP="004953A3">
            <w:pPr>
              <w:jc w:val="left"/>
              <w:rPr>
                <w:bCs w:val="0"/>
              </w:rPr>
            </w:pPr>
            <w:r>
              <w:rPr>
                <w:bCs w:val="0"/>
              </w:rPr>
              <w:t>1.1</w:t>
            </w:r>
          </w:p>
        </w:tc>
        <w:tc>
          <w:tcPr>
            <w:tcW w:w="3960" w:type="dxa"/>
            <w:gridSpan w:val="2"/>
            <w:tcBorders>
              <w:bottom w:val="single" w:sz="12" w:space="0" w:color="17365D" w:themeColor="text2" w:themeShade="BF"/>
            </w:tcBorders>
          </w:tcPr>
          <w:p w:rsidR="000B1635" w:rsidRDefault="000B1635" w:rsidP="004953A3">
            <w:pPr>
              <w:jc w:val="left"/>
            </w:pPr>
            <w:r>
              <w:t>Current license(s) are on file at agency.</w:t>
            </w:r>
          </w:p>
        </w:tc>
      </w:tr>
      <w:tr w:rsidR="000B1635" w:rsidRPr="0016057D" w:rsidTr="0016057D">
        <w:tc>
          <w:tcPr>
            <w:tcW w:w="738" w:type="dxa"/>
            <w:gridSpan w:val="2"/>
            <w:tcBorders>
              <w:top w:val="single" w:sz="12" w:space="0" w:color="17365D" w:themeColor="text2" w:themeShade="BF"/>
              <w:bottom w:val="single" w:sz="12" w:space="0" w:color="17365D" w:themeColor="text2" w:themeShade="BF"/>
            </w:tcBorders>
          </w:tcPr>
          <w:p w:rsidR="000B1635" w:rsidRDefault="000B1635" w:rsidP="004953A3">
            <w:pPr>
              <w:jc w:val="left"/>
              <w:rPr>
                <w:bCs w:val="0"/>
              </w:rPr>
            </w:pPr>
            <w:r>
              <w:rPr>
                <w:bCs w:val="0"/>
              </w:rPr>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vAlign w:val="center"/>
          </w:tcPr>
          <w:p w:rsidR="000B1635" w:rsidRDefault="000B1635" w:rsidP="004953A3">
            <w:pPr>
              <w:jc w:val="left"/>
            </w:pPr>
            <w:r>
              <w:t xml:space="preserve">All agencies will comply with Section </w:t>
            </w:r>
            <w:r>
              <w:lastRenderedPageBreak/>
              <w:t>340B of P.L. 102-585, the Veteran’s Health Care Act of 1992.</w:t>
            </w:r>
          </w:p>
          <w:p w:rsidR="000B1635" w:rsidRDefault="000B1635" w:rsidP="004953A3">
            <w:pPr>
              <w:jc w:val="left"/>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B1635" w:rsidRDefault="000B1635" w:rsidP="004953A3">
            <w:pPr>
              <w:jc w:val="left"/>
              <w:rPr>
                <w:bCs w:val="0"/>
              </w:rPr>
            </w:pPr>
            <w:r>
              <w:rPr>
                <w:bCs w:val="0"/>
              </w:rPr>
              <w:lastRenderedPageBreak/>
              <w:t>1.2</w:t>
            </w:r>
          </w:p>
        </w:tc>
        <w:tc>
          <w:tcPr>
            <w:tcW w:w="3960" w:type="dxa"/>
            <w:gridSpan w:val="2"/>
            <w:tcBorders>
              <w:bottom w:val="single" w:sz="12" w:space="0" w:color="17365D" w:themeColor="text2" w:themeShade="BF"/>
            </w:tcBorders>
          </w:tcPr>
          <w:p w:rsidR="000B1635" w:rsidRDefault="000B1635" w:rsidP="004953A3">
            <w:pPr>
              <w:jc w:val="left"/>
            </w:pPr>
            <w:r>
              <w:t>License on file at agency</w:t>
            </w:r>
          </w:p>
        </w:tc>
      </w:tr>
    </w:tbl>
    <w:tbl>
      <w:tblPr>
        <w:tblStyle w:val="TableGrid21"/>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0B1635" w:rsidTr="004953A3">
        <w:tc>
          <w:tcPr>
            <w:tcW w:w="738" w:type="dxa"/>
            <w:tcBorders>
              <w:top w:val="single" w:sz="12" w:space="0" w:color="17365D" w:themeColor="text2" w:themeShade="BF"/>
              <w:bottom w:val="single" w:sz="12" w:space="0" w:color="17365D" w:themeColor="text2" w:themeShade="BF"/>
            </w:tcBorders>
          </w:tcPr>
          <w:p w:rsidR="000B1635" w:rsidRDefault="000B1635" w:rsidP="004953A3">
            <w:pPr>
              <w:jc w:val="left"/>
              <w:rPr>
                <w:bCs w:val="0"/>
              </w:rPr>
            </w:pPr>
            <w:r>
              <w:rPr>
                <w:bCs w:val="0"/>
              </w:rPr>
              <w:lastRenderedPageBreak/>
              <w:t>1.3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B1635" w:rsidRDefault="000B1635" w:rsidP="004953A3">
            <w:pPr>
              <w:jc w:val="left"/>
            </w:pPr>
            <w:r>
              <w:t>Agencies must ensure that original prescriptions are on file and that all medications are on the current approved formulary.</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B1635" w:rsidRDefault="000B1635" w:rsidP="004953A3">
            <w:pPr>
              <w:jc w:val="left"/>
              <w:rPr>
                <w:bCs w:val="0"/>
              </w:rPr>
            </w:pPr>
            <w:r>
              <w:rPr>
                <w:bCs w:val="0"/>
              </w:rPr>
              <w:t>1.3</w:t>
            </w:r>
          </w:p>
        </w:tc>
        <w:tc>
          <w:tcPr>
            <w:tcW w:w="3960" w:type="dxa"/>
            <w:tcBorders>
              <w:top w:val="single" w:sz="12" w:space="0" w:color="17365D" w:themeColor="text2" w:themeShade="BF"/>
              <w:bottom w:val="single" w:sz="12" w:space="0" w:color="17365D" w:themeColor="text2" w:themeShade="BF"/>
            </w:tcBorders>
          </w:tcPr>
          <w:p w:rsidR="000B1635" w:rsidRDefault="000B1635" w:rsidP="004953A3">
            <w:pPr>
              <w:jc w:val="left"/>
            </w:pPr>
            <w:r>
              <w:t>Original prescription from a licensed Florida medical provider on file</w:t>
            </w:r>
          </w:p>
        </w:tc>
      </w:tr>
      <w:tr w:rsidR="000B1635" w:rsidRPr="006213D1" w:rsidTr="005E5891">
        <w:tc>
          <w:tcPr>
            <w:tcW w:w="738" w:type="dxa"/>
            <w:tcBorders>
              <w:top w:val="single" w:sz="12" w:space="0" w:color="17365D" w:themeColor="text2" w:themeShade="BF"/>
              <w:bottom w:val="single" w:sz="4" w:space="0" w:color="auto"/>
            </w:tcBorders>
          </w:tcPr>
          <w:p w:rsidR="000B1635" w:rsidRDefault="000B1635" w:rsidP="004953A3">
            <w:pPr>
              <w:jc w:val="left"/>
              <w:rPr>
                <w:bCs w:val="0"/>
              </w:rPr>
            </w:pPr>
            <w:r>
              <w:rPr>
                <w:bCs w:val="0"/>
              </w:rPr>
              <w:t>1.4</w:t>
            </w:r>
          </w:p>
        </w:tc>
        <w:tc>
          <w:tcPr>
            <w:tcW w:w="4158" w:type="dxa"/>
            <w:tcBorders>
              <w:top w:val="single" w:sz="12" w:space="0" w:color="17365D" w:themeColor="text2" w:themeShade="BF"/>
              <w:bottom w:val="single" w:sz="4" w:space="0" w:color="auto"/>
              <w:right w:val="single" w:sz="12" w:space="0" w:color="17365D" w:themeColor="text2" w:themeShade="BF"/>
            </w:tcBorders>
            <w:vAlign w:val="center"/>
          </w:tcPr>
          <w:p w:rsidR="000B1635" w:rsidRDefault="000B1635" w:rsidP="004953A3">
            <w:pPr>
              <w:pStyle w:val="ListParagraph"/>
              <w:ind w:left="0"/>
              <w:jc w:val="left"/>
            </w:pPr>
            <w:r>
              <w:t>Agencies shall ensure that medications are distributed to Ryan White eligible consumers that have been screened for ADAP eligibility with rescreening every six (6) months.</w:t>
            </w:r>
          </w:p>
          <w:p w:rsidR="000B1635" w:rsidRPr="00246355" w:rsidRDefault="000B1635" w:rsidP="000B1635">
            <w:pPr>
              <w:pStyle w:val="ListParagraph"/>
              <w:numPr>
                <w:ilvl w:val="0"/>
                <w:numId w:val="5"/>
              </w:numPr>
              <w:jc w:val="left"/>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B1635" w:rsidRDefault="000B1635" w:rsidP="004953A3">
            <w:pPr>
              <w:jc w:val="left"/>
              <w:rPr>
                <w:bCs w:val="0"/>
              </w:rPr>
            </w:pPr>
            <w:r>
              <w:rPr>
                <w:bCs w:val="0"/>
              </w:rPr>
              <w:t>1.4</w:t>
            </w:r>
          </w:p>
        </w:tc>
        <w:tc>
          <w:tcPr>
            <w:tcW w:w="3960" w:type="dxa"/>
            <w:tcBorders>
              <w:top w:val="single" w:sz="12" w:space="0" w:color="17365D" w:themeColor="text2" w:themeShade="BF"/>
              <w:bottom w:val="single" w:sz="4" w:space="0" w:color="auto"/>
            </w:tcBorders>
          </w:tcPr>
          <w:p w:rsidR="000B1635" w:rsidRDefault="000B1635" w:rsidP="004953A3">
            <w:pPr>
              <w:jc w:val="left"/>
            </w:pPr>
            <w:r>
              <w:t>Documentation of Ryan White eligibility with ADAP screening and rescreening in Provide Enterprise (PE).</w:t>
            </w:r>
          </w:p>
          <w:p w:rsidR="000B1635" w:rsidRPr="006213D1" w:rsidRDefault="000B1635" w:rsidP="000B1635">
            <w:pPr>
              <w:pStyle w:val="ListParagraph"/>
              <w:numPr>
                <w:ilvl w:val="0"/>
                <w:numId w:val="6"/>
              </w:numPr>
              <w:jc w:val="left"/>
            </w:pPr>
          </w:p>
        </w:tc>
      </w:tr>
      <w:tr w:rsidR="005E5891" w:rsidTr="005E5891">
        <w:tc>
          <w:tcPr>
            <w:tcW w:w="738" w:type="dxa"/>
            <w:tcBorders>
              <w:top w:val="single" w:sz="4" w:space="0" w:color="auto"/>
              <w:bottom w:val="single" w:sz="4" w:space="0" w:color="auto"/>
            </w:tcBorders>
          </w:tcPr>
          <w:p w:rsidR="005E5891" w:rsidRDefault="005E5891" w:rsidP="000B1635">
            <w:pPr>
              <w:rPr>
                <w:rFonts w:eastAsiaTheme="majorEastAsia"/>
                <w:b/>
                <w:bCs w:val="0"/>
                <w:color w:val="4F81BD" w:themeColor="accent1"/>
                <w:szCs w:val="26"/>
              </w:rPr>
            </w:pPr>
            <w:r>
              <w:t xml:space="preserve">1.5 </w:t>
            </w:r>
          </w:p>
          <w:p w:rsidR="005E5891" w:rsidRPr="000B1635" w:rsidRDefault="005E5891" w:rsidP="000B1635">
            <w:pPr>
              <w:ind w:left="360"/>
              <w:rPr>
                <w:rFonts w:eastAsiaTheme="majorEastAsia"/>
                <w:b/>
                <w:color w:val="4F81BD" w:themeColor="accent1"/>
                <w:szCs w:val="26"/>
              </w:rPr>
            </w:pPr>
          </w:p>
        </w:tc>
        <w:tc>
          <w:tcPr>
            <w:tcW w:w="4158" w:type="dxa"/>
            <w:tcBorders>
              <w:top w:val="single" w:sz="4" w:space="0" w:color="auto"/>
              <w:left w:val="nil"/>
              <w:bottom w:val="single" w:sz="4" w:space="0" w:color="auto"/>
              <w:right w:val="single" w:sz="4" w:space="0" w:color="auto"/>
            </w:tcBorders>
          </w:tcPr>
          <w:p w:rsidR="005E5891" w:rsidRDefault="005E5891" w:rsidP="000B1635">
            <w:pPr>
              <w:rPr>
                <w:rFonts w:eastAsiaTheme="majorEastAsia"/>
                <w:b/>
                <w:color w:val="4F81BD" w:themeColor="accent1"/>
                <w:szCs w:val="26"/>
              </w:rPr>
            </w:pPr>
            <w:r>
              <w:t>Agencies shall ensure that a drug distribution system is in place that provides for:</w:t>
            </w:r>
          </w:p>
          <w:p w:rsidR="005E5891" w:rsidRPr="005E5891" w:rsidRDefault="005E5891" w:rsidP="005E5891">
            <w:pPr>
              <w:pStyle w:val="ListParagraph"/>
              <w:numPr>
                <w:ilvl w:val="0"/>
                <w:numId w:val="126"/>
              </w:numPr>
              <w:rPr>
                <w:rFonts w:eastAsiaTheme="minorHAnsi"/>
                <w:bCs w:val="0"/>
                <w:szCs w:val="22"/>
              </w:rPr>
            </w:pPr>
            <w:r>
              <w:t>uniform benefits to all enrolled consumers throughout the EMA a record keeping system for distributed and/or destroyed medications</w:t>
            </w:r>
          </w:p>
          <w:p w:rsidR="005E5891" w:rsidRDefault="005E5891" w:rsidP="005E5891">
            <w:pPr>
              <w:pStyle w:val="ListParagraph"/>
              <w:rPr>
                <w:rFonts w:eastAsiaTheme="minorHAnsi"/>
                <w:bCs w:val="0"/>
                <w:szCs w:val="22"/>
              </w:rPr>
            </w:pPr>
          </w:p>
        </w:tc>
        <w:tc>
          <w:tcPr>
            <w:tcW w:w="702" w:type="dxa"/>
            <w:tcBorders>
              <w:top w:val="single" w:sz="12" w:space="0" w:color="17365D" w:themeColor="text2" w:themeShade="BF"/>
              <w:left w:val="single" w:sz="4" w:space="0" w:color="auto"/>
              <w:bottom w:val="single" w:sz="12" w:space="0" w:color="17365D" w:themeColor="text2" w:themeShade="BF"/>
            </w:tcBorders>
          </w:tcPr>
          <w:p w:rsidR="005E5891" w:rsidRDefault="005E5891" w:rsidP="005E5891">
            <w:pPr>
              <w:rPr>
                <w:bCs w:val="0"/>
              </w:rPr>
            </w:pPr>
            <w:r>
              <w:t xml:space="preserve">1.5  </w:t>
            </w:r>
          </w:p>
        </w:tc>
        <w:tc>
          <w:tcPr>
            <w:tcW w:w="3960" w:type="dxa"/>
            <w:tcBorders>
              <w:top w:val="single" w:sz="4" w:space="0" w:color="auto"/>
              <w:bottom w:val="single" w:sz="4" w:space="0" w:color="auto"/>
            </w:tcBorders>
          </w:tcPr>
          <w:p w:rsidR="005E5891" w:rsidRDefault="005E5891" w:rsidP="004953A3">
            <w:r>
              <w:t>Total number of consumers receiving Anti-retroviral (ARV)</w:t>
            </w:r>
          </w:p>
        </w:tc>
      </w:tr>
    </w:tbl>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5E5891" w:rsidRPr="0016057D" w:rsidTr="005E5891">
        <w:tc>
          <w:tcPr>
            <w:tcW w:w="738" w:type="dxa"/>
            <w:tcBorders>
              <w:top w:val="single" w:sz="4" w:space="0" w:color="auto"/>
              <w:bottom w:val="single" w:sz="12" w:space="0" w:color="17365D" w:themeColor="text2" w:themeShade="BF"/>
            </w:tcBorders>
          </w:tcPr>
          <w:p w:rsidR="005E5891" w:rsidRDefault="005E5891" w:rsidP="004953A3">
            <w:pPr>
              <w:rPr>
                <w:bCs w:val="0"/>
              </w:rPr>
            </w:pPr>
            <w:r>
              <w:rPr>
                <w:bCs w:val="0"/>
              </w:rPr>
              <w:t>1.6</w:t>
            </w:r>
          </w:p>
        </w:tc>
        <w:tc>
          <w:tcPr>
            <w:tcW w:w="4158" w:type="dxa"/>
            <w:tcBorders>
              <w:top w:val="single" w:sz="4" w:space="0" w:color="auto"/>
              <w:bottom w:val="single" w:sz="12" w:space="0" w:color="17365D" w:themeColor="text2" w:themeShade="BF"/>
              <w:right w:val="single" w:sz="12" w:space="0" w:color="17365D" w:themeColor="text2" w:themeShade="BF"/>
            </w:tcBorders>
          </w:tcPr>
          <w:p w:rsidR="005E5891" w:rsidRDefault="005E5891" w:rsidP="004953A3">
            <w:pPr>
              <w:jc w:val="left"/>
            </w:pPr>
            <w:r>
              <w:t>An LPAP does not dispense medications as:</w:t>
            </w:r>
          </w:p>
          <w:p w:rsidR="005E5891" w:rsidRDefault="005E5891" w:rsidP="005E5891">
            <w:pPr>
              <w:pStyle w:val="ListParagraph"/>
              <w:numPr>
                <w:ilvl w:val="0"/>
                <w:numId w:val="7"/>
              </w:numPr>
              <w:jc w:val="left"/>
            </w:pPr>
            <w:r>
              <w:t>A single occurrence of short duration (an emergency); or</w:t>
            </w:r>
          </w:p>
          <w:p w:rsidR="005E5891" w:rsidRPr="004D0BCC" w:rsidRDefault="005E5891" w:rsidP="005E5891">
            <w:pPr>
              <w:pStyle w:val="ListParagraph"/>
              <w:numPr>
                <w:ilvl w:val="0"/>
                <w:numId w:val="7"/>
              </w:numPr>
              <w:jc w:val="left"/>
            </w:pPr>
            <w:r>
              <w:t>Vouchers to clients on an emergency basis.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E5891" w:rsidRDefault="005E5891" w:rsidP="004953A3">
            <w:pPr>
              <w:jc w:val="left"/>
              <w:rPr>
                <w:bCs w:val="0"/>
              </w:rPr>
            </w:pPr>
            <w:r>
              <w:rPr>
                <w:bCs w:val="0"/>
              </w:rPr>
              <w:t>1.6</w:t>
            </w:r>
          </w:p>
        </w:tc>
        <w:tc>
          <w:tcPr>
            <w:tcW w:w="3960" w:type="dxa"/>
            <w:tcBorders>
              <w:top w:val="single" w:sz="4" w:space="0" w:color="auto"/>
              <w:bottom w:val="single" w:sz="12" w:space="0" w:color="17365D" w:themeColor="text2" w:themeShade="BF"/>
            </w:tcBorders>
          </w:tcPr>
          <w:p w:rsidR="005E5891" w:rsidRDefault="005E5891" w:rsidP="004953A3">
            <w:pPr>
              <w:jc w:val="left"/>
            </w:pPr>
            <w:r>
              <w:t>Documentation that the LPAP is not dispensing medications as:</w:t>
            </w:r>
          </w:p>
          <w:p w:rsidR="005E5891" w:rsidRDefault="005E5891" w:rsidP="005E5891">
            <w:pPr>
              <w:pStyle w:val="ListParagraph"/>
              <w:numPr>
                <w:ilvl w:val="0"/>
                <w:numId w:val="8"/>
              </w:numPr>
              <w:jc w:val="left"/>
            </w:pPr>
            <w:r>
              <w:t>A single occurrence of short duration (an emergency without arrangements for longer term access to medication; or</w:t>
            </w:r>
          </w:p>
          <w:p w:rsidR="005E5891" w:rsidRDefault="005E5891" w:rsidP="005E5891">
            <w:pPr>
              <w:pStyle w:val="ListParagraph"/>
              <w:numPr>
                <w:ilvl w:val="0"/>
                <w:numId w:val="8"/>
              </w:numPr>
              <w:jc w:val="left"/>
            </w:pPr>
            <w:r>
              <w:t>Vouchers to clients on a single occurrence without arrangements for longer-term access to medications.</w:t>
            </w:r>
          </w:p>
          <w:p w:rsidR="005E5891" w:rsidRPr="004D0BCC" w:rsidRDefault="005E5891" w:rsidP="005E5891">
            <w:pPr>
              <w:pStyle w:val="ListParagraph"/>
              <w:ind w:left="360"/>
              <w:jc w:val="left"/>
            </w:pPr>
          </w:p>
        </w:tc>
      </w:tr>
      <w:tr w:rsidR="005E5891" w:rsidRPr="0016057D" w:rsidTr="0016057D">
        <w:tc>
          <w:tcPr>
            <w:tcW w:w="738" w:type="dxa"/>
            <w:tcBorders>
              <w:top w:val="single" w:sz="12" w:space="0" w:color="17365D" w:themeColor="text2" w:themeShade="BF"/>
              <w:bottom w:val="single" w:sz="12" w:space="0" w:color="17365D" w:themeColor="text2" w:themeShade="BF"/>
            </w:tcBorders>
          </w:tcPr>
          <w:p w:rsidR="005E5891" w:rsidRDefault="005E5891" w:rsidP="004953A3">
            <w:pPr>
              <w:rPr>
                <w:bCs w:val="0"/>
              </w:rPr>
            </w:pPr>
            <w:r>
              <w:rPr>
                <w:bCs w:val="0"/>
              </w:rPr>
              <w:t>1.7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vAlign w:val="center"/>
          </w:tcPr>
          <w:p w:rsidR="005E5891" w:rsidRDefault="005E5891" w:rsidP="004953A3">
            <w:pPr>
              <w:jc w:val="left"/>
            </w:pPr>
            <w:r>
              <w:t xml:space="preserve">The agency must adhere to the current approved Ryan White Part A formulary established by the local pharmacy work group.  </w:t>
            </w:r>
          </w:p>
          <w:p w:rsidR="005E5891" w:rsidRDefault="005E5891" w:rsidP="004953A3">
            <w:pPr>
              <w:jc w:val="left"/>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E5891" w:rsidRDefault="005E5891" w:rsidP="004953A3">
            <w:pPr>
              <w:jc w:val="left"/>
              <w:rPr>
                <w:bCs w:val="0"/>
              </w:rPr>
            </w:pPr>
            <w:r>
              <w:rPr>
                <w:bCs w:val="0"/>
              </w:rPr>
              <w:t>1.7</w:t>
            </w:r>
          </w:p>
        </w:tc>
        <w:tc>
          <w:tcPr>
            <w:tcW w:w="3960" w:type="dxa"/>
            <w:tcBorders>
              <w:top w:val="single" w:sz="12" w:space="0" w:color="17365D" w:themeColor="text2" w:themeShade="BF"/>
              <w:bottom w:val="single" w:sz="12" w:space="0" w:color="17365D" w:themeColor="text2" w:themeShade="BF"/>
            </w:tcBorders>
          </w:tcPr>
          <w:p w:rsidR="005E5891" w:rsidRDefault="005E5891" w:rsidP="004953A3">
            <w:pPr>
              <w:jc w:val="left"/>
            </w:pPr>
            <w:r>
              <w:t>Documentation that the agency adheres to the current approved Ryan White Part A formulary.</w:t>
            </w:r>
          </w:p>
        </w:tc>
      </w:tr>
      <w:tr w:rsidR="005E5891" w:rsidRPr="0016057D" w:rsidTr="005E5891">
        <w:tc>
          <w:tcPr>
            <w:tcW w:w="738" w:type="dxa"/>
            <w:tcBorders>
              <w:top w:val="single" w:sz="12" w:space="0" w:color="17365D" w:themeColor="text2" w:themeShade="BF"/>
              <w:bottom w:val="single" w:sz="12" w:space="0" w:color="17365D" w:themeColor="text2" w:themeShade="BF"/>
            </w:tcBorders>
          </w:tcPr>
          <w:p w:rsidR="005E5891" w:rsidRDefault="005E5891" w:rsidP="004953A3">
            <w:r>
              <w:t>1.8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E5891" w:rsidRDefault="005E5891" w:rsidP="005E5891">
            <w:pPr>
              <w:jc w:val="left"/>
            </w:pPr>
            <w:r>
              <w:t>Agencies shall provide Treatment adherence counseling for all drugs dispensed to consumers.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E5891" w:rsidRDefault="005E5891" w:rsidP="004953A3">
            <w:r>
              <w:t>1.8</w:t>
            </w:r>
          </w:p>
        </w:tc>
        <w:tc>
          <w:tcPr>
            <w:tcW w:w="3960" w:type="dxa"/>
            <w:tcBorders>
              <w:top w:val="single" w:sz="12" w:space="0" w:color="17365D" w:themeColor="text2" w:themeShade="BF"/>
              <w:bottom w:val="single" w:sz="12" w:space="0" w:color="17365D" w:themeColor="text2" w:themeShade="BF"/>
            </w:tcBorders>
          </w:tcPr>
          <w:p w:rsidR="005E5891" w:rsidRDefault="005E5891" w:rsidP="004953A3">
            <w:r>
              <w:t>Percentage of patients dispensed medication with a viral load less than 200 copies/ml at last HIV viral load test during the measurement year</w:t>
            </w:r>
          </w:p>
          <w:p w:rsidR="005E5891" w:rsidRDefault="005E5891" w:rsidP="004953A3"/>
        </w:tc>
      </w:tr>
    </w:tbl>
    <w:p w:rsidR="0016057D" w:rsidRDefault="0016057D"/>
    <w:tbl>
      <w:tblPr>
        <w:tblStyle w:val="TableGrid"/>
        <w:tblW w:w="9576" w:type="dxa"/>
        <w:tblLayout w:type="fixed"/>
        <w:tblLook w:val="04A0" w:firstRow="1" w:lastRow="0" w:firstColumn="1" w:lastColumn="0" w:noHBand="0" w:noVBand="1"/>
      </w:tblPr>
      <w:tblGrid>
        <w:gridCol w:w="9576"/>
      </w:tblGrid>
      <w:tr w:rsidR="00AC4BEF" w:rsidRPr="0016057D" w:rsidTr="0016057D">
        <w:tc>
          <w:tcPr>
            <w:tcW w:w="9576" w:type="dxa"/>
            <w:tcBorders>
              <w:top w:val="single" w:sz="12" w:space="0" w:color="17365D" w:themeColor="text2" w:themeShade="BF"/>
              <w:left w:val="nil"/>
              <w:bottom w:val="single" w:sz="12" w:space="0" w:color="17365D" w:themeColor="text2" w:themeShade="BF"/>
              <w:right w:val="nil"/>
            </w:tcBorders>
          </w:tcPr>
          <w:p w:rsidR="00AC4BEF" w:rsidRPr="0016057D" w:rsidRDefault="00AC4BEF" w:rsidP="0016057D">
            <w:pPr>
              <w:pStyle w:val="Heading3"/>
              <w:spacing w:before="0"/>
              <w:outlineLvl w:val="2"/>
            </w:pPr>
            <w:bookmarkStart w:id="25" w:name="_Toc489280872"/>
            <w:r w:rsidRPr="0016057D">
              <w:rPr>
                <w:sz w:val="28"/>
              </w:rPr>
              <w:lastRenderedPageBreak/>
              <w:t>2.0 Co-pay/Cost Sharing</w:t>
            </w:r>
            <w:bookmarkEnd w:id="25"/>
          </w:p>
        </w:tc>
      </w:tr>
    </w:tbl>
    <w:p w:rsidR="00AC4BEF" w:rsidRPr="0016057D" w:rsidRDefault="00AC4BEF" w:rsidP="00B643CB">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16057D" w:rsidTr="0016057D">
        <w:tc>
          <w:tcPr>
            <w:tcW w:w="9576" w:type="dxa"/>
            <w:tcBorders>
              <w:top w:val="nil"/>
              <w:left w:val="nil"/>
              <w:bottom w:val="nil"/>
              <w:right w:val="nil"/>
            </w:tcBorders>
          </w:tcPr>
          <w:p w:rsidR="0016057D" w:rsidRDefault="0016057D" w:rsidP="0016057D">
            <w:pPr>
              <w:rPr>
                <w:rFonts w:cs="Arial"/>
              </w:rPr>
            </w:pPr>
            <w:r w:rsidRPr="0016057D">
              <w:rPr>
                <w:rFonts w:cs="Arial"/>
              </w:rPr>
              <w:t>The purpose of the Share of Cost/Insurance Co-pays standard is ensuring that there are consistent guidelines for determining co-pay and cost sharing.</w:t>
            </w:r>
          </w:p>
        </w:tc>
      </w:tr>
    </w:tbl>
    <w:p w:rsidR="00607023" w:rsidRPr="0016057D" w:rsidRDefault="00607023" w:rsidP="00B643CB">
      <w:pPr>
        <w:spacing w:after="0" w:line="240" w:lineRule="auto"/>
        <w:jc w:val="both"/>
        <w:rPr>
          <w:rFonts w:ascii="Arial" w:hAnsi="Arial" w:cs="Arial"/>
          <w:sz w:val="24"/>
        </w:rPr>
      </w:pPr>
      <w:r w:rsidRPr="0016057D">
        <w:rPr>
          <w:rFonts w:ascii="Arial" w:hAnsi="Arial" w:cs="Arial"/>
          <w:sz w:val="24"/>
        </w:rPr>
        <w:t xml:space="preserve"> </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AC4BEF" w:rsidRPr="0016057D" w:rsidTr="00A4657E">
        <w:tc>
          <w:tcPr>
            <w:tcW w:w="9558" w:type="dxa"/>
            <w:gridSpan w:val="6"/>
            <w:shd w:val="clear" w:color="auto" w:fill="17365D" w:themeFill="text2" w:themeFillShade="BF"/>
          </w:tcPr>
          <w:p w:rsidR="00AC4BEF" w:rsidRPr="0016057D" w:rsidRDefault="00AC4BEF" w:rsidP="0016057D">
            <w:pPr>
              <w:pStyle w:val="Heading4"/>
              <w:spacing w:before="0"/>
              <w:outlineLvl w:val="3"/>
              <w:rPr>
                <w:bCs/>
              </w:rPr>
            </w:pPr>
            <w:r w:rsidRPr="0016057D">
              <w:rPr>
                <w:color w:val="FFFFFF" w:themeColor="background1"/>
                <w:sz w:val="28"/>
              </w:rPr>
              <w:t>2.0 Co-pay/Cost Sharing</w:t>
            </w:r>
          </w:p>
        </w:tc>
      </w:tr>
      <w:tr w:rsidR="00AC4BEF" w:rsidRPr="0016057D" w:rsidTr="00A4657E">
        <w:tc>
          <w:tcPr>
            <w:tcW w:w="720" w:type="dxa"/>
          </w:tcPr>
          <w:p w:rsidR="00AC4BEF" w:rsidRPr="0016057D" w:rsidRDefault="00AC4BEF" w:rsidP="00A4657E">
            <w:pPr>
              <w:rPr>
                <w:bCs w:val="0"/>
              </w:rPr>
            </w:pPr>
          </w:p>
        </w:tc>
        <w:tc>
          <w:tcPr>
            <w:tcW w:w="4176" w:type="dxa"/>
            <w:gridSpan w:val="2"/>
          </w:tcPr>
          <w:p w:rsidR="00AC4BEF" w:rsidRPr="0016057D" w:rsidRDefault="00AC4BEF" w:rsidP="00A4657E">
            <w:pPr>
              <w:rPr>
                <w:bCs w:val="0"/>
              </w:rPr>
            </w:pPr>
          </w:p>
        </w:tc>
        <w:tc>
          <w:tcPr>
            <w:tcW w:w="720" w:type="dxa"/>
            <w:gridSpan w:val="2"/>
          </w:tcPr>
          <w:p w:rsidR="00AC4BEF" w:rsidRPr="0016057D" w:rsidRDefault="00AC4BEF" w:rsidP="00A4657E">
            <w:pPr>
              <w:rPr>
                <w:bCs w:val="0"/>
              </w:rPr>
            </w:pPr>
          </w:p>
        </w:tc>
        <w:tc>
          <w:tcPr>
            <w:tcW w:w="3942" w:type="dxa"/>
          </w:tcPr>
          <w:p w:rsidR="00AC4BEF" w:rsidRPr="0016057D" w:rsidRDefault="00AC4BEF" w:rsidP="00A4657E">
            <w:pPr>
              <w:rPr>
                <w:bCs w:val="0"/>
              </w:rPr>
            </w:pPr>
          </w:p>
        </w:tc>
      </w:tr>
      <w:tr w:rsidR="00AC4BEF" w:rsidRPr="0016057D" w:rsidTr="00A4657E">
        <w:tc>
          <w:tcPr>
            <w:tcW w:w="4896" w:type="dxa"/>
            <w:gridSpan w:val="3"/>
            <w:tcBorders>
              <w:bottom w:val="single" w:sz="12" w:space="0" w:color="17365D" w:themeColor="text2" w:themeShade="BF"/>
              <w:right w:val="single" w:sz="12" w:space="0" w:color="17365D" w:themeColor="text2" w:themeShade="BF"/>
            </w:tcBorders>
            <w:vAlign w:val="center"/>
          </w:tcPr>
          <w:p w:rsidR="00AC4BEF" w:rsidRPr="0016057D" w:rsidRDefault="00AC4BEF" w:rsidP="00A4657E">
            <w:pPr>
              <w:jc w:val="center"/>
              <w:rPr>
                <w:rStyle w:val="BookTitle"/>
              </w:rPr>
            </w:pPr>
            <w:r w:rsidRPr="0016057D">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AC4BEF" w:rsidRPr="0016057D" w:rsidRDefault="00AC4BEF" w:rsidP="00A4657E">
            <w:pPr>
              <w:jc w:val="center"/>
              <w:rPr>
                <w:rStyle w:val="BookTitle"/>
              </w:rPr>
            </w:pPr>
            <w:r w:rsidRPr="0016057D">
              <w:rPr>
                <w:rStyle w:val="BookTitle"/>
              </w:rPr>
              <w:t>Measures</w:t>
            </w:r>
          </w:p>
        </w:tc>
      </w:tr>
      <w:tr w:rsidR="005E5891" w:rsidRPr="0016057D" w:rsidTr="00A4657E">
        <w:tc>
          <w:tcPr>
            <w:tcW w:w="738" w:type="dxa"/>
            <w:gridSpan w:val="2"/>
            <w:tcBorders>
              <w:top w:val="single" w:sz="12" w:space="0" w:color="17365D" w:themeColor="text2" w:themeShade="BF"/>
              <w:bottom w:val="single" w:sz="12" w:space="0" w:color="17365D" w:themeColor="text2" w:themeShade="BF"/>
            </w:tcBorders>
          </w:tcPr>
          <w:p w:rsidR="005E5891" w:rsidRDefault="005E5891" w:rsidP="004953A3">
            <w:pPr>
              <w:jc w:val="left"/>
              <w:rPr>
                <w:bCs w:val="0"/>
              </w:rPr>
            </w:pPr>
            <w:r>
              <w:rPr>
                <w:bCs w:val="0"/>
              </w:rPr>
              <w:t>2.1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vAlign w:val="center"/>
          </w:tcPr>
          <w:p w:rsidR="005E5891" w:rsidRDefault="005E5891" w:rsidP="004953A3">
            <w:pPr>
              <w:jc w:val="left"/>
            </w:pPr>
            <w:r>
              <w:t>Agencies must determine share of cost/insurance co-pays based on the following criteria:</w:t>
            </w:r>
          </w:p>
          <w:p w:rsidR="005E5891" w:rsidRDefault="005E5891" w:rsidP="005E5891">
            <w:pPr>
              <w:pStyle w:val="ListParagraph"/>
              <w:numPr>
                <w:ilvl w:val="0"/>
                <w:numId w:val="9"/>
              </w:numPr>
              <w:jc w:val="left"/>
            </w:pPr>
            <w:r>
              <w:t>consumers who have an income of 200% or less of the federal poverty guideline have zero (0) share of cost;</w:t>
            </w:r>
          </w:p>
          <w:p w:rsidR="005E5891" w:rsidRDefault="005E5891" w:rsidP="005E5891">
            <w:pPr>
              <w:pStyle w:val="ListParagraph"/>
              <w:numPr>
                <w:ilvl w:val="0"/>
                <w:numId w:val="9"/>
              </w:numPr>
              <w:jc w:val="left"/>
            </w:pPr>
            <w:r>
              <w:t>consumers whose income is between 201% and 400% of the poverty level will receive up to $200 worth of assistance monthly;</w:t>
            </w:r>
          </w:p>
          <w:p w:rsidR="005E5891" w:rsidRPr="00607023" w:rsidRDefault="005E5891" w:rsidP="004953A3">
            <w:pPr>
              <w:jc w:val="left"/>
              <w:rPr>
                <w:i/>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E5891" w:rsidRDefault="005E5891" w:rsidP="004953A3">
            <w:pPr>
              <w:jc w:val="left"/>
              <w:rPr>
                <w:bCs w:val="0"/>
              </w:rPr>
            </w:pPr>
            <w:r>
              <w:rPr>
                <w:bCs w:val="0"/>
              </w:rPr>
              <w:t>2.1</w:t>
            </w:r>
          </w:p>
        </w:tc>
        <w:tc>
          <w:tcPr>
            <w:tcW w:w="3960" w:type="dxa"/>
            <w:gridSpan w:val="2"/>
            <w:tcBorders>
              <w:bottom w:val="single" w:sz="12" w:space="0" w:color="17365D" w:themeColor="text2" w:themeShade="BF"/>
            </w:tcBorders>
          </w:tcPr>
          <w:p w:rsidR="005E5891" w:rsidRDefault="005E5891" w:rsidP="004953A3">
            <w:pPr>
              <w:jc w:val="left"/>
            </w:pPr>
            <w:r>
              <w:t>Documentation of applied current federal poverty guidelines and income in consumer file.</w:t>
            </w:r>
          </w:p>
        </w:tc>
      </w:tr>
    </w:tbl>
    <w:p w:rsidR="00AC4BEF" w:rsidRPr="0016057D" w:rsidRDefault="00AC4BEF" w:rsidP="005E5891">
      <w:pPr>
        <w:pStyle w:val="Heading3"/>
        <w:spacing w:before="0"/>
      </w:pPr>
    </w:p>
    <w:tbl>
      <w:tblPr>
        <w:tblStyle w:val="TableGrid"/>
        <w:tblW w:w="0" w:type="auto"/>
        <w:tblLook w:val="04A0" w:firstRow="1" w:lastRow="0" w:firstColumn="1" w:lastColumn="0" w:noHBand="0" w:noVBand="1"/>
      </w:tblPr>
      <w:tblGrid>
        <w:gridCol w:w="9576"/>
      </w:tblGrid>
      <w:tr w:rsidR="003A7DA4" w:rsidRPr="0016057D" w:rsidTr="003A7DA4">
        <w:tc>
          <w:tcPr>
            <w:tcW w:w="9576" w:type="dxa"/>
            <w:tcBorders>
              <w:top w:val="single" w:sz="12" w:space="0" w:color="17365D" w:themeColor="text2" w:themeShade="BF"/>
              <w:left w:val="nil"/>
              <w:bottom w:val="single" w:sz="12" w:space="0" w:color="17365D" w:themeColor="text2" w:themeShade="BF"/>
              <w:right w:val="nil"/>
            </w:tcBorders>
          </w:tcPr>
          <w:p w:rsidR="003A7DA4" w:rsidRPr="0016057D" w:rsidRDefault="003A7DA4" w:rsidP="005E5891">
            <w:pPr>
              <w:pStyle w:val="Heading3"/>
              <w:spacing w:before="0"/>
              <w:outlineLvl w:val="2"/>
              <w:rPr>
                <w:sz w:val="28"/>
              </w:rPr>
            </w:pPr>
            <w:bookmarkStart w:id="26" w:name="_Toc489280873"/>
            <w:r w:rsidRPr="0016057D">
              <w:rPr>
                <w:sz w:val="28"/>
              </w:rPr>
              <w:t>3.0 Formulary</w:t>
            </w:r>
            <w:bookmarkEnd w:id="26"/>
          </w:p>
        </w:tc>
      </w:tr>
    </w:tbl>
    <w:p w:rsidR="003A7DA4" w:rsidRPr="0016057D" w:rsidRDefault="003A7DA4" w:rsidP="00B643CB">
      <w:pPr>
        <w:spacing w:after="0" w:line="240" w:lineRule="auto"/>
        <w:jc w:val="both"/>
        <w:rPr>
          <w:rFonts w:ascii="Arial" w:hAnsi="Arial" w:cs="Arial"/>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607023" w:rsidRPr="0016057D" w:rsidTr="00A4657E">
        <w:tc>
          <w:tcPr>
            <w:tcW w:w="9558" w:type="dxa"/>
            <w:gridSpan w:val="6"/>
            <w:shd w:val="clear" w:color="auto" w:fill="17365D" w:themeFill="text2" w:themeFillShade="BF"/>
          </w:tcPr>
          <w:p w:rsidR="00607023" w:rsidRPr="0016057D" w:rsidRDefault="00607023" w:rsidP="005E5891">
            <w:pPr>
              <w:pStyle w:val="Heading4"/>
              <w:spacing w:before="0"/>
              <w:outlineLvl w:val="3"/>
              <w:rPr>
                <w:bCs/>
              </w:rPr>
            </w:pPr>
            <w:r w:rsidRPr="005E5891">
              <w:rPr>
                <w:bCs/>
                <w:sz w:val="28"/>
              </w:rPr>
              <w:t>3.0 Formulary</w:t>
            </w:r>
          </w:p>
        </w:tc>
      </w:tr>
      <w:tr w:rsidR="00607023" w:rsidRPr="0016057D" w:rsidTr="00A4657E">
        <w:tc>
          <w:tcPr>
            <w:tcW w:w="720" w:type="dxa"/>
          </w:tcPr>
          <w:p w:rsidR="00607023" w:rsidRPr="0016057D" w:rsidRDefault="00607023" w:rsidP="00A4657E">
            <w:pPr>
              <w:rPr>
                <w:bCs w:val="0"/>
              </w:rPr>
            </w:pPr>
          </w:p>
        </w:tc>
        <w:tc>
          <w:tcPr>
            <w:tcW w:w="4176" w:type="dxa"/>
            <w:gridSpan w:val="2"/>
          </w:tcPr>
          <w:p w:rsidR="00607023" w:rsidRPr="0016057D" w:rsidRDefault="00607023" w:rsidP="00A4657E">
            <w:pPr>
              <w:rPr>
                <w:bCs w:val="0"/>
              </w:rPr>
            </w:pPr>
          </w:p>
        </w:tc>
        <w:tc>
          <w:tcPr>
            <w:tcW w:w="720" w:type="dxa"/>
            <w:gridSpan w:val="2"/>
          </w:tcPr>
          <w:p w:rsidR="00607023" w:rsidRPr="0016057D" w:rsidRDefault="00607023" w:rsidP="00A4657E">
            <w:pPr>
              <w:rPr>
                <w:bCs w:val="0"/>
              </w:rPr>
            </w:pPr>
          </w:p>
        </w:tc>
        <w:tc>
          <w:tcPr>
            <w:tcW w:w="3942" w:type="dxa"/>
          </w:tcPr>
          <w:p w:rsidR="00607023" w:rsidRPr="0016057D" w:rsidRDefault="00607023" w:rsidP="00A4657E">
            <w:pPr>
              <w:rPr>
                <w:bCs w:val="0"/>
              </w:rPr>
            </w:pPr>
          </w:p>
        </w:tc>
      </w:tr>
      <w:tr w:rsidR="00607023" w:rsidRPr="0016057D" w:rsidTr="00A4657E">
        <w:tc>
          <w:tcPr>
            <w:tcW w:w="4896" w:type="dxa"/>
            <w:gridSpan w:val="3"/>
            <w:tcBorders>
              <w:bottom w:val="single" w:sz="12" w:space="0" w:color="17365D" w:themeColor="text2" w:themeShade="BF"/>
              <w:right w:val="single" w:sz="12" w:space="0" w:color="17365D" w:themeColor="text2" w:themeShade="BF"/>
            </w:tcBorders>
            <w:vAlign w:val="center"/>
          </w:tcPr>
          <w:p w:rsidR="00607023" w:rsidRPr="0016057D" w:rsidRDefault="00607023" w:rsidP="00A4657E">
            <w:pPr>
              <w:jc w:val="center"/>
              <w:rPr>
                <w:bCs w:val="0"/>
              </w:rPr>
            </w:pPr>
            <w:r w:rsidRPr="0016057D">
              <w:rPr>
                <w:bCs w:val="0"/>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607023" w:rsidRPr="0016057D" w:rsidRDefault="00607023" w:rsidP="00A4657E">
            <w:pPr>
              <w:jc w:val="center"/>
              <w:rPr>
                <w:bCs w:val="0"/>
              </w:rPr>
            </w:pPr>
            <w:r w:rsidRPr="0016057D">
              <w:rPr>
                <w:bCs w:val="0"/>
              </w:rPr>
              <w:t>Measures</w:t>
            </w:r>
          </w:p>
        </w:tc>
      </w:tr>
      <w:tr w:rsidR="005E5891" w:rsidTr="003A7DA4">
        <w:tc>
          <w:tcPr>
            <w:tcW w:w="738" w:type="dxa"/>
            <w:gridSpan w:val="2"/>
            <w:tcBorders>
              <w:top w:val="single" w:sz="12" w:space="0" w:color="17365D" w:themeColor="text2" w:themeShade="BF"/>
              <w:bottom w:val="single" w:sz="12" w:space="0" w:color="17365D" w:themeColor="text2" w:themeShade="BF"/>
            </w:tcBorders>
          </w:tcPr>
          <w:p w:rsidR="005E5891" w:rsidRDefault="005E5891" w:rsidP="004953A3">
            <w:pPr>
              <w:jc w:val="left"/>
              <w:rPr>
                <w:bCs w:val="0"/>
              </w:rPr>
            </w:pPr>
            <w:r>
              <w:rPr>
                <w:bCs w:val="0"/>
              </w:rPr>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vAlign w:val="center"/>
          </w:tcPr>
          <w:p w:rsidR="005E5891" w:rsidRPr="00607023" w:rsidRDefault="005E5891" w:rsidP="004953A3">
            <w:r>
              <w:t>Agency must utilize current approved Ryan White Part A formulary.</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E5891" w:rsidRDefault="005E5891" w:rsidP="004953A3">
            <w:pPr>
              <w:jc w:val="left"/>
              <w:rPr>
                <w:bCs w:val="0"/>
              </w:rPr>
            </w:pPr>
            <w:r>
              <w:rPr>
                <w:bCs w:val="0"/>
              </w:rPr>
              <w:t>3.1</w:t>
            </w:r>
          </w:p>
        </w:tc>
        <w:tc>
          <w:tcPr>
            <w:tcW w:w="3960" w:type="dxa"/>
            <w:gridSpan w:val="2"/>
            <w:tcBorders>
              <w:top w:val="single" w:sz="12" w:space="0" w:color="17365D" w:themeColor="text2" w:themeShade="BF"/>
              <w:bottom w:val="single" w:sz="12" w:space="0" w:color="17365D" w:themeColor="text2" w:themeShade="BF"/>
            </w:tcBorders>
          </w:tcPr>
          <w:p w:rsidR="005E5891" w:rsidRDefault="005E5891" w:rsidP="004953A3">
            <w:pPr>
              <w:jc w:val="left"/>
            </w:pPr>
            <w:r>
              <w:t>All consumers access only pharmaceuticals listed on the Part A formulary.</w:t>
            </w:r>
          </w:p>
          <w:p w:rsidR="005E5891" w:rsidRDefault="005E5891" w:rsidP="004953A3">
            <w:pPr>
              <w:jc w:val="left"/>
            </w:pPr>
          </w:p>
        </w:tc>
      </w:tr>
      <w:tr w:rsidR="005E5891" w:rsidTr="004953A3">
        <w:tc>
          <w:tcPr>
            <w:tcW w:w="738" w:type="dxa"/>
            <w:gridSpan w:val="2"/>
            <w:tcBorders>
              <w:top w:val="single" w:sz="12" w:space="0" w:color="17365D" w:themeColor="text2" w:themeShade="BF"/>
              <w:bottom w:val="single" w:sz="12" w:space="0" w:color="17365D" w:themeColor="text2" w:themeShade="BF"/>
            </w:tcBorders>
          </w:tcPr>
          <w:p w:rsidR="005E5891" w:rsidRPr="00607023" w:rsidRDefault="005E5891" w:rsidP="005E5891">
            <w:pPr>
              <w:jc w:val="left"/>
            </w:pPr>
            <w:r>
              <w:rPr>
                <w:bCs w:val="0"/>
              </w:rPr>
              <w:t xml:space="preserve">3.2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E5891" w:rsidRDefault="005E5891" w:rsidP="005E5891">
            <w:pPr>
              <w:jc w:val="left"/>
              <w:rPr>
                <w:bCs w:val="0"/>
              </w:rPr>
            </w:pPr>
            <w:r>
              <w:rPr>
                <w:bCs w:val="0"/>
              </w:rPr>
              <w:t>Agencies shall ensure that a representative participates as a member of the Local Pharmacy Work Group.</w:t>
            </w:r>
          </w:p>
          <w:p w:rsidR="005E5891" w:rsidRDefault="005E5891" w:rsidP="005E5891">
            <w:pPr>
              <w:jc w:val="left"/>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E5891" w:rsidRDefault="005E5891" w:rsidP="004953A3">
            <w:r>
              <w:t>3.2.</w:t>
            </w:r>
          </w:p>
        </w:tc>
        <w:tc>
          <w:tcPr>
            <w:tcW w:w="3960" w:type="dxa"/>
            <w:gridSpan w:val="2"/>
            <w:tcBorders>
              <w:top w:val="single" w:sz="12" w:space="0" w:color="17365D" w:themeColor="text2" w:themeShade="BF"/>
              <w:bottom w:val="single" w:sz="12" w:space="0" w:color="17365D" w:themeColor="text2" w:themeShade="BF"/>
            </w:tcBorders>
          </w:tcPr>
          <w:p w:rsidR="005E5891" w:rsidRDefault="005E5891" w:rsidP="004953A3">
            <w:r>
              <w:t>Documentation of participation via minutes</w:t>
            </w:r>
          </w:p>
        </w:tc>
      </w:tr>
    </w:tbl>
    <w:p w:rsidR="00607023" w:rsidRDefault="00607023" w:rsidP="00B643CB">
      <w:pPr>
        <w:spacing w:after="0" w:line="240" w:lineRule="auto"/>
        <w:jc w:val="both"/>
        <w:rPr>
          <w:rFonts w:ascii="Arial" w:hAnsi="Arial" w:cs="Arial"/>
          <w:sz w:val="24"/>
        </w:rPr>
      </w:pPr>
    </w:p>
    <w:p w:rsidR="003A7DA4" w:rsidRDefault="003A7DA4" w:rsidP="00B643CB">
      <w:pPr>
        <w:spacing w:after="0" w:line="240" w:lineRule="auto"/>
        <w:jc w:val="both"/>
        <w:rPr>
          <w:rFonts w:ascii="Arial" w:hAnsi="Arial" w:cs="Arial"/>
          <w:sz w:val="24"/>
        </w:rPr>
      </w:pPr>
    </w:p>
    <w:p w:rsidR="00307739" w:rsidRDefault="00307739" w:rsidP="00B643CB">
      <w:pPr>
        <w:spacing w:after="0" w:line="240" w:lineRule="auto"/>
        <w:jc w:val="both"/>
        <w:rPr>
          <w:rFonts w:ascii="Arial" w:hAnsi="Arial" w:cs="Arial"/>
          <w:sz w:val="24"/>
        </w:rPr>
      </w:pPr>
    </w:p>
    <w:p w:rsidR="00307739" w:rsidRDefault="00307739" w:rsidP="00B643CB">
      <w:pPr>
        <w:spacing w:after="0" w:line="240" w:lineRule="auto"/>
        <w:jc w:val="both"/>
        <w:rPr>
          <w:rFonts w:ascii="Arial" w:hAnsi="Arial" w:cs="Arial"/>
          <w:sz w:val="24"/>
        </w:rPr>
      </w:pPr>
    </w:p>
    <w:p w:rsidR="00307739" w:rsidRDefault="00307739" w:rsidP="00B643CB">
      <w:pPr>
        <w:spacing w:after="0" w:line="240" w:lineRule="auto"/>
        <w:jc w:val="both"/>
        <w:rPr>
          <w:rFonts w:ascii="Arial" w:hAnsi="Arial" w:cs="Arial"/>
          <w:sz w:val="24"/>
        </w:rPr>
      </w:pPr>
    </w:p>
    <w:p w:rsidR="00307739" w:rsidRDefault="00307739" w:rsidP="00B643CB">
      <w:pPr>
        <w:spacing w:after="0" w:line="240" w:lineRule="auto"/>
        <w:jc w:val="both"/>
        <w:rPr>
          <w:rFonts w:ascii="Arial" w:hAnsi="Arial" w:cs="Arial"/>
          <w:sz w:val="24"/>
        </w:rPr>
      </w:pPr>
    </w:p>
    <w:p w:rsidR="00307739" w:rsidRDefault="00307739" w:rsidP="00B643CB">
      <w:pPr>
        <w:spacing w:after="0" w:line="240" w:lineRule="auto"/>
        <w:jc w:val="both"/>
        <w:rPr>
          <w:rFonts w:ascii="Arial" w:hAnsi="Arial" w:cs="Arial"/>
          <w:sz w:val="24"/>
        </w:rPr>
      </w:pPr>
    </w:p>
    <w:p w:rsidR="00307739" w:rsidRDefault="00307739" w:rsidP="00B643CB">
      <w:pPr>
        <w:spacing w:after="0" w:line="240" w:lineRule="auto"/>
        <w:jc w:val="both"/>
        <w:rPr>
          <w:rFonts w:ascii="Arial" w:hAnsi="Arial" w:cs="Arial"/>
          <w:sz w:val="24"/>
        </w:rPr>
      </w:pPr>
    </w:p>
    <w:p w:rsidR="00307739" w:rsidRDefault="00307739" w:rsidP="00B643CB">
      <w:pPr>
        <w:spacing w:after="0" w:line="240" w:lineRule="auto"/>
        <w:jc w:val="both"/>
        <w:rPr>
          <w:rFonts w:ascii="Arial" w:hAnsi="Arial" w:cs="Arial"/>
          <w:sz w:val="24"/>
        </w:rPr>
      </w:pPr>
    </w:p>
    <w:p w:rsidR="0016057D" w:rsidRDefault="0016057D" w:rsidP="00B643CB">
      <w:pPr>
        <w:spacing w:after="0" w:line="240" w:lineRule="auto"/>
        <w:jc w:val="both"/>
        <w:rPr>
          <w:rFonts w:ascii="Arial" w:hAnsi="Arial" w:cs="Arial"/>
          <w:sz w:val="24"/>
        </w:rPr>
        <w:sectPr w:rsidR="0016057D" w:rsidSect="00456EA7">
          <w:type w:val="continuous"/>
          <w:pgSz w:w="12240" w:h="15840" w:code="1"/>
          <w:pgMar w:top="1296" w:right="1440" w:bottom="1296" w:left="1440" w:header="720" w:footer="432" w:gutter="0"/>
          <w:cols w:space="720"/>
          <w:titlePg/>
          <w:docGrid w:linePitch="360"/>
        </w:sectPr>
      </w:pPr>
    </w:p>
    <w:tbl>
      <w:tblPr>
        <w:tblStyle w:val="TableGrid"/>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576"/>
      </w:tblGrid>
      <w:tr w:rsidR="00065FA7" w:rsidRPr="00304877" w:rsidTr="00DE4D08">
        <w:trPr>
          <w:trHeight w:val="420"/>
        </w:trPr>
        <w:tc>
          <w:tcPr>
            <w:tcW w:w="9576" w:type="dxa"/>
            <w:shd w:val="clear" w:color="auto" w:fill="17365D" w:themeFill="text2" w:themeFillShade="BF"/>
            <w:vAlign w:val="center"/>
          </w:tcPr>
          <w:p w:rsidR="00BD73B0" w:rsidRPr="00304877" w:rsidRDefault="00BD73B0" w:rsidP="00FD2282">
            <w:pPr>
              <w:pStyle w:val="Heading2"/>
              <w:spacing w:before="0"/>
              <w:jc w:val="center"/>
              <w:outlineLvl w:val="1"/>
              <w:rPr>
                <w:sz w:val="32"/>
              </w:rPr>
            </w:pPr>
            <w:bookmarkStart w:id="27" w:name="_Oral_Health"/>
            <w:bookmarkStart w:id="28" w:name="_Toc489280874"/>
            <w:bookmarkEnd w:id="27"/>
            <w:r w:rsidRPr="00304877">
              <w:rPr>
                <w:color w:val="FFFFFF" w:themeColor="background1"/>
                <w:sz w:val="32"/>
              </w:rPr>
              <w:lastRenderedPageBreak/>
              <w:t>Oral Health</w:t>
            </w:r>
            <w:bookmarkEnd w:id="28"/>
          </w:p>
        </w:tc>
      </w:tr>
    </w:tbl>
    <w:p w:rsidR="005B5885" w:rsidRDefault="005B5885" w:rsidP="005B5885">
      <w:pPr>
        <w:spacing w:after="0"/>
      </w:pPr>
    </w:p>
    <w:tbl>
      <w:tblPr>
        <w:tblStyle w:val="TableGrid"/>
        <w:tblW w:w="0" w:type="auto"/>
        <w:tblLook w:val="04A0" w:firstRow="1" w:lastRow="0" w:firstColumn="1" w:lastColumn="0" w:noHBand="0" w:noVBand="1"/>
      </w:tblPr>
      <w:tblGrid>
        <w:gridCol w:w="9576"/>
      </w:tblGrid>
      <w:tr w:rsidR="00107749" w:rsidTr="005B5885">
        <w:trPr>
          <w:trHeight w:val="2538"/>
        </w:trPr>
        <w:tc>
          <w:tcPr>
            <w:tcW w:w="9576" w:type="dxa"/>
            <w:tcBorders>
              <w:top w:val="nil"/>
              <w:left w:val="nil"/>
              <w:bottom w:val="nil"/>
              <w:right w:val="nil"/>
            </w:tcBorders>
          </w:tcPr>
          <w:p w:rsidR="000D60AF" w:rsidRDefault="000D60AF" w:rsidP="005B5885">
            <w:pPr>
              <w:rPr>
                <w:rFonts w:cs="Arial"/>
                <w:b/>
              </w:rPr>
            </w:pPr>
            <w:r w:rsidRPr="00DE4D08">
              <w:rPr>
                <w:rFonts w:cs="Arial"/>
                <w:b/>
              </w:rPr>
              <w:t xml:space="preserve">Definition: </w:t>
            </w:r>
          </w:p>
          <w:p w:rsidR="000D60AF" w:rsidRPr="00DE4D08" w:rsidRDefault="000D60AF" w:rsidP="000D60AF">
            <w:pPr>
              <w:rPr>
                <w:rFonts w:cs="Arial"/>
              </w:rPr>
            </w:pPr>
            <w:r w:rsidRPr="00DE4D08">
              <w:rPr>
                <w:rFonts w:cs="Arial"/>
              </w:rPr>
              <w:t>Oral health care includes diagnostic, preventive and therapeutic services provided by a dental health care professional licensed to provide health care in the State or jurisdiction, including general dental practitioners, dental specialists, and dental hygienists, as well as licensed and trained dental assistants.</w:t>
            </w:r>
          </w:p>
          <w:p w:rsidR="000D60AF" w:rsidRDefault="000D60AF" w:rsidP="000D60AF">
            <w:pPr>
              <w:spacing w:before="240"/>
              <w:rPr>
                <w:rFonts w:cs="Arial"/>
                <w:b/>
              </w:rPr>
            </w:pPr>
            <w:r w:rsidRPr="00DE4D08">
              <w:rPr>
                <w:rFonts w:cs="Arial"/>
                <w:b/>
              </w:rPr>
              <w:t xml:space="preserve">Eligibility: </w:t>
            </w:r>
          </w:p>
          <w:p w:rsidR="00107749" w:rsidRDefault="000D60AF" w:rsidP="000D60AF">
            <w:pPr>
              <w:rPr>
                <w:rFonts w:cs="Arial"/>
                <w:b/>
              </w:rPr>
            </w:pPr>
            <w:r w:rsidRPr="00DE4D08">
              <w:rPr>
                <w:rFonts w:cs="Arial"/>
              </w:rPr>
              <w:t>Consumers accessing Oral Health Services must meet the eligibility standards as described in the System-Wide Standards of Care.</w:t>
            </w:r>
          </w:p>
        </w:tc>
      </w:tr>
    </w:tbl>
    <w:p w:rsidR="00107749" w:rsidRDefault="00107749" w:rsidP="00DE4D08">
      <w:pPr>
        <w:spacing w:after="0" w:line="240" w:lineRule="auto"/>
        <w:jc w:val="both"/>
        <w:rPr>
          <w:rFonts w:ascii="Arial" w:hAnsi="Arial" w:cs="Arial"/>
          <w:b/>
          <w:sz w:val="24"/>
        </w:rPr>
      </w:pPr>
    </w:p>
    <w:tbl>
      <w:tblPr>
        <w:tblStyle w:val="TableGrid7"/>
        <w:tblW w:w="0" w:type="auto"/>
        <w:tblLook w:val="04A0" w:firstRow="1" w:lastRow="0" w:firstColumn="1" w:lastColumn="0" w:noHBand="0" w:noVBand="1"/>
      </w:tblPr>
      <w:tblGrid>
        <w:gridCol w:w="9576"/>
      </w:tblGrid>
      <w:tr w:rsidR="00DE4D08" w:rsidRPr="00DE4D08" w:rsidTr="005B5885">
        <w:tc>
          <w:tcPr>
            <w:tcW w:w="9576" w:type="dxa"/>
            <w:tcBorders>
              <w:top w:val="single" w:sz="12" w:space="0" w:color="17365D" w:themeColor="text2" w:themeShade="BF"/>
              <w:left w:val="nil"/>
              <w:bottom w:val="single" w:sz="4" w:space="0" w:color="auto"/>
              <w:right w:val="nil"/>
            </w:tcBorders>
          </w:tcPr>
          <w:p w:rsidR="00DE4D08" w:rsidRPr="00DE4D08" w:rsidRDefault="00DE4D08" w:rsidP="00FD2282">
            <w:pPr>
              <w:pStyle w:val="Heading3"/>
              <w:spacing w:before="0"/>
              <w:outlineLvl w:val="2"/>
            </w:pPr>
            <w:bookmarkStart w:id="29" w:name="_Toc489280875"/>
            <w:r w:rsidRPr="00FD2282">
              <w:rPr>
                <w:sz w:val="28"/>
              </w:rPr>
              <w:t>1.0 Agency Policies and Procedures</w:t>
            </w:r>
            <w:bookmarkEnd w:id="29"/>
          </w:p>
        </w:tc>
      </w:tr>
    </w:tbl>
    <w:p w:rsidR="005B5885" w:rsidRDefault="005B5885" w:rsidP="005B5885">
      <w:pPr>
        <w:spacing w:after="0"/>
      </w:pPr>
    </w:p>
    <w:tbl>
      <w:tblPr>
        <w:tblStyle w:val="TableGrid"/>
        <w:tblW w:w="0" w:type="auto"/>
        <w:tblLook w:val="04A0" w:firstRow="1" w:lastRow="0" w:firstColumn="1" w:lastColumn="0" w:noHBand="0" w:noVBand="1"/>
      </w:tblPr>
      <w:tblGrid>
        <w:gridCol w:w="9576"/>
      </w:tblGrid>
      <w:tr w:rsidR="000D60AF" w:rsidTr="000D60AF">
        <w:tc>
          <w:tcPr>
            <w:tcW w:w="9576" w:type="dxa"/>
            <w:tcBorders>
              <w:top w:val="nil"/>
              <w:left w:val="nil"/>
              <w:bottom w:val="nil"/>
              <w:right w:val="nil"/>
            </w:tcBorders>
          </w:tcPr>
          <w:p w:rsidR="000D60AF" w:rsidRDefault="000D60AF" w:rsidP="005B5885">
            <w:pPr>
              <w:rPr>
                <w:rFonts w:cs="Arial"/>
              </w:rPr>
            </w:pPr>
            <w:r w:rsidRPr="00DE4D08">
              <w:rPr>
                <w:rFonts w:cs="Arial"/>
              </w:rPr>
              <w:t>The Agencies shall have Policy and Procedures to ensure that the Services are accessible to all eligible consumers.  The Agency policy and procedures will ensure compliance with the following Standards.</w:t>
            </w:r>
          </w:p>
        </w:tc>
      </w:tr>
    </w:tbl>
    <w:p w:rsidR="00DE4D08" w:rsidRPr="00DE4D08" w:rsidRDefault="00DE4D08" w:rsidP="00DE4D08">
      <w:pPr>
        <w:spacing w:after="0" w:line="240" w:lineRule="auto"/>
        <w:jc w:val="both"/>
        <w:rPr>
          <w:rFonts w:ascii="Arial" w:hAnsi="Arial" w:cs="Arial"/>
          <w:sz w:val="24"/>
        </w:rPr>
      </w:pPr>
    </w:p>
    <w:tbl>
      <w:tblPr>
        <w:tblStyle w:val="TableGrid7"/>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DE4D08" w:rsidRPr="00DE4D08" w:rsidTr="00FD2282">
        <w:tc>
          <w:tcPr>
            <w:tcW w:w="9558" w:type="dxa"/>
            <w:gridSpan w:val="4"/>
            <w:shd w:val="clear" w:color="auto" w:fill="17365D" w:themeFill="text2" w:themeFillShade="BF"/>
          </w:tcPr>
          <w:p w:rsidR="00DE4D08" w:rsidRPr="00DE4D08" w:rsidRDefault="00DE4D08" w:rsidP="00C217F9">
            <w:pPr>
              <w:pStyle w:val="Heading4"/>
              <w:spacing w:before="0"/>
              <w:outlineLvl w:val="3"/>
            </w:pPr>
            <w:r w:rsidRPr="00C217F9">
              <w:rPr>
                <w:color w:val="FFFFFF" w:themeColor="background1"/>
                <w:sz w:val="28"/>
              </w:rPr>
              <w:t>1.0 Agency Policies and Procedures</w:t>
            </w:r>
          </w:p>
        </w:tc>
      </w:tr>
      <w:tr w:rsidR="00FD2282" w:rsidRPr="00DE4D08" w:rsidTr="00FD2282">
        <w:tc>
          <w:tcPr>
            <w:tcW w:w="4896" w:type="dxa"/>
            <w:gridSpan w:val="2"/>
            <w:vAlign w:val="center"/>
          </w:tcPr>
          <w:p w:rsidR="00FD2282" w:rsidRPr="00DE4D08" w:rsidRDefault="00FD2282" w:rsidP="00DE4D08">
            <w:pPr>
              <w:jc w:val="center"/>
              <w:rPr>
                <w:rFonts w:cs="Arial"/>
                <w:b/>
                <w:sz w:val="28"/>
              </w:rPr>
            </w:pPr>
          </w:p>
        </w:tc>
        <w:tc>
          <w:tcPr>
            <w:tcW w:w="4662" w:type="dxa"/>
            <w:gridSpan w:val="2"/>
            <w:vAlign w:val="center"/>
          </w:tcPr>
          <w:p w:rsidR="00FD2282" w:rsidRPr="00DE4D08" w:rsidRDefault="00FD2282" w:rsidP="00DE4D08">
            <w:pPr>
              <w:jc w:val="center"/>
              <w:rPr>
                <w:rFonts w:cs="Arial"/>
                <w:b/>
                <w:sz w:val="28"/>
              </w:rPr>
            </w:pPr>
          </w:p>
        </w:tc>
      </w:tr>
      <w:tr w:rsidR="00DE4D08" w:rsidRPr="00DE4D08" w:rsidTr="00FD2282">
        <w:tc>
          <w:tcPr>
            <w:tcW w:w="4896" w:type="dxa"/>
            <w:gridSpan w:val="2"/>
            <w:tcBorders>
              <w:bottom w:val="single" w:sz="12" w:space="0" w:color="17365D" w:themeColor="text2" w:themeShade="BF"/>
              <w:right w:val="single" w:sz="12" w:space="0" w:color="17365D" w:themeColor="text2" w:themeShade="BF"/>
            </w:tcBorders>
            <w:vAlign w:val="center"/>
          </w:tcPr>
          <w:p w:rsidR="00DE4D08" w:rsidRPr="00457B6E" w:rsidRDefault="00DE4D08" w:rsidP="00DE4D08">
            <w:pPr>
              <w:jc w:val="center"/>
              <w:rPr>
                <w:rStyle w:val="BookTitle"/>
              </w:rPr>
            </w:pPr>
            <w:r w:rsidRPr="00457B6E">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DE4D08" w:rsidRPr="00457B6E" w:rsidRDefault="00DE4D08" w:rsidP="00DE4D08">
            <w:pPr>
              <w:jc w:val="center"/>
              <w:rPr>
                <w:rStyle w:val="BookTitle"/>
              </w:rPr>
            </w:pPr>
            <w:r w:rsidRPr="00457B6E">
              <w:rPr>
                <w:rStyle w:val="BookTitle"/>
              </w:rPr>
              <w:t>Measures</w:t>
            </w:r>
          </w:p>
        </w:tc>
      </w:tr>
      <w:tr w:rsidR="00DE4D08" w:rsidRPr="00DE4D08" w:rsidTr="00DE4D08">
        <w:tc>
          <w:tcPr>
            <w:tcW w:w="738"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vAlign w:val="center"/>
          </w:tcPr>
          <w:p w:rsidR="00DE4D08" w:rsidRPr="00F50815" w:rsidRDefault="00DE4D08" w:rsidP="00DE4D08">
            <w:pPr>
              <w:rPr>
                <w:rFonts w:cs="Arial"/>
              </w:rPr>
            </w:pPr>
            <w:r w:rsidRPr="00F50815">
              <w:rPr>
                <w:rFonts w:cs="Arial"/>
              </w:rPr>
              <w:t>Reimbursement will be provided in accordance with the current and up to date Orlando EMA Dental Fee Schedule.</w:t>
            </w:r>
          </w:p>
          <w:p w:rsidR="00DE4D08" w:rsidRPr="00F50815" w:rsidRDefault="00DE4D08" w:rsidP="00DE4D08">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1.1</w:t>
            </w:r>
          </w:p>
        </w:tc>
        <w:tc>
          <w:tcPr>
            <w:tcW w:w="3960"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The agency has a copy of the current and up to date EMA Dental Fee Schedule available to case managers.</w:t>
            </w:r>
          </w:p>
        </w:tc>
      </w:tr>
      <w:tr w:rsidR="00DE4D08" w:rsidRPr="00DE4D08" w:rsidTr="00DE4D08">
        <w:tc>
          <w:tcPr>
            <w:tcW w:w="738"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F50815" w:rsidRDefault="00DE4D08" w:rsidP="00DE4D08">
            <w:pPr>
              <w:rPr>
                <w:rFonts w:cs="Arial"/>
              </w:rPr>
            </w:pPr>
            <w:r w:rsidRPr="00F50815">
              <w:rPr>
                <w:rFonts w:cs="Arial"/>
              </w:rPr>
              <w:t>Levels of service shall be in accordance with the established Dental Services Levels.</w:t>
            </w:r>
          </w:p>
          <w:p w:rsidR="00DE4D08" w:rsidRPr="00F50815" w:rsidRDefault="00DE4D08" w:rsidP="00DE4D08">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1.2</w:t>
            </w:r>
          </w:p>
        </w:tc>
        <w:tc>
          <w:tcPr>
            <w:tcW w:w="3960"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Treatment plan in consumer file</w:t>
            </w:r>
          </w:p>
        </w:tc>
      </w:tr>
      <w:tr w:rsidR="00DE4D08" w:rsidRPr="00DE4D08" w:rsidTr="00DE4D08">
        <w:tc>
          <w:tcPr>
            <w:tcW w:w="738"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1.3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F50815" w:rsidRDefault="00DE4D08" w:rsidP="00DE4D08">
            <w:pPr>
              <w:rPr>
                <w:rFonts w:cs="Arial"/>
              </w:rPr>
            </w:pPr>
            <w:r w:rsidRPr="00F50815">
              <w:rPr>
                <w:rFonts w:cs="Arial"/>
              </w:rPr>
              <w:t>Oral health professionals providing the services shall be approved by the grantee and have appropriate valid licensure and certifications, based on State and local laws.</w:t>
            </w:r>
          </w:p>
          <w:p w:rsidR="00DE4D08" w:rsidRPr="00F50815" w:rsidRDefault="00DE4D08" w:rsidP="00DE4D08">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1.3</w:t>
            </w:r>
          </w:p>
        </w:tc>
        <w:tc>
          <w:tcPr>
            <w:tcW w:w="3960"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Current and approved up to date list of oral health providers available to case managers.</w:t>
            </w:r>
          </w:p>
        </w:tc>
      </w:tr>
      <w:tr w:rsidR="00DE4D08" w:rsidRPr="00DE4D08" w:rsidTr="00DE4D08">
        <w:tc>
          <w:tcPr>
            <w:tcW w:w="738"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1.4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F50815" w:rsidRDefault="00DE4D08" w:rsidP="00DE4D08">
            <w:pPr>
              <w:rPr>
                <w:rFonts w:cs="Arial"/>
              </w:rPr>
            </w:pPr>
            <w:r w:rsidRPr="00F50815">
              <w:rPr>
                <w:rFonts w:cs="Arial"/>
              </w:rPr>
              <w:t>The case management agency shall develop a policy and procedure for management of waiting lists that prioritizes consumers with existing treatment plans.</w:t>
            </w:r>
          </w:p>
          <w:p w:rsidR="00DE4D08" w:rsidRPr="00F50815" w:rsidRDefault="00DE4D08" w:rsidP="00DE4D08">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1.4</w:t>
            </w:r>
          </w:p>
        </w:tc>
        <w:tc>
          <w:tcPr>
            <w:tcW w:w="3960"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Policy and procedure available for review.</w:t>
            </w:r>
          </w:p>
        </w:tc>
      </w:tr>
      <w:tr w:rsidR="00DE4D08" w:rsidRPr="00DE4D08" w:rsidTr="00DE4D08">
        <w:tc>
          <w:tcPr>
            <w:tcW w:w="738"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1.5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E9577A" w:rsidRPr="00F50815" w:rsidRDefault="00DE4D08" w:rsidP="00F50815">
            <w:pPr>
              <w:rPr>
                <w:rFonts w:cs="Arial"/>
              </w:rPr>
            </w:pPr>
            <w:r w:rsidRPr="00F50815">
              <w:rPr>
                <w:rFonts w:cs="Arial"/>
              </w:rPr>
              <w:t xml:space="preserve">Oral health services are provided by general dental practitioners, dental specialists, dental hygienists and </w:t>
            </w:r>
            <w:r w:rsidRPr="00F50815">
              <w:rPr>
                <w:rFonts w:cs="Arial"/>
              </w:rPr>
              <w:lastRenderedPageBreak/>
              <w:t>auxiliaries and meet current dental care guidelines.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lastRenderedPageBreak/>
              <w:t>1.5</w:t>
            </w:r>
          </w:p>
        </w:tc>
        <w:tc>
          <w:tcPr>
            <w:tcW w:w="3960"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Current and approved up to date list of oral health providers available to case managers.</w:t>
            </w:r>
          </w:p>
        </w:tc>
      </w:tr>
      <w:tr w:rsidR="00DE4D08" w:rsidRPr="00DE4D08" w:rsidTr="00DE4D08">
        <w:tc>
          <w:tcPr>
            <w:tcW w:w="738"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lastRenderedPageBreak/>
              <w:t>1.6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F50815" w:rsidRDefault="00DE4D08" w:rsidP="00DE4D08">
            <w:pPr>
              <w:rPr>
                <w:rFonts w:cs="Arial"/>
              </w:rPr>
            </w:pPr>
            <w:r w:rsidRPr="00F50815">
              <w:rPr>
                <w:rFonts w:cs="Arial"/>
              </w:rPr>
              <w:t>The clinical decisions shall be supported by the American Dental Association Dental Practice parameters.</w:t>
            </w:r>
          </w:p>
          <w:p w:rsidR="00DE4D08" w:rsidRPr="00F50815" w:rsidRDefault="00DE4D08" w:rsidP="00DE4D08">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1.6</w:t>
            </w:r>
          </w:p>
        </w:tc>
        <w:tc>
          <w:tcPr>
            <w:tcW w:w="3960" w:type="dxa"/>
            <w:tcBorders>
              <w:top w:val="single" w:sz="12" w:space="0" w:color="17365D" w:themeColor="text2" w:themeShade="BF"/>
              <w:bottom w:val="single" w:sz="12" w:space="0" w:color="17365D" w:themeColor="text2" w:themeShade="BF"/>
            </w:tcBorders>
          </w:tcPr>
          <w:p w:rsidR="00DE4D08" w:rsidRPr="00F50815" w:rsidRDefault="00DE4D08" w:rsidP="00DE4D08">
            <w:pPr>
              <w:rPr>
                <w:rFonts w:cs="Arial"/>
              </w:rPr>
            </w:pPr>
            <w:r w:rsidRPr="00F50815">
              <w:rPr>
                <w:rFonts w:cs="Arial"/>
              </w:rPr>
              <w:t>Copy of the parameters available.</w:t>
            </w:r>
          </w:p>
        </w:tc>
      </w:tr>
    </w:tbl>
    <w:p w:rsidR="00DE4D08" w:rsidRPr="00DE4D08" w:rsidRDefault="00DE4D08" w:rsidP="00DE4D08">
      <w:pPr>
        <w:spacing w:after="0" w:line="240" w:lineRule="auto"/>
        <w:jc w:val="both"/>
        <w:rPr>
          <w:rFonts w:ascii="Arial" w:hAnsi="Arial" w:cs="Arial"/>
          <w:sz w:val="24"/>
        </w:rPr>
      </w:pPr>
    </w:p>
    <w:tbl>
      <w:tblPr>
        <w:tblStyle w:val="TableGrid7"/>
        <w:tblW w:w="0" w:type="auto"/>
        <w:tblLook w:val="04A0" w:firstRow="1" w:lastRow="0" w:firstColumn="1" w:lastColumn="0" w:noHBand="0" w:noVBand="1"/>
      </w:tblPr>
      <w:tblGrid>
        <w:gridCol w:w="9576"/>
      </w:tblGrid>
      <w:tr w:rsidR="00DE4D08" w:rsidRPr="00DE4D08" w:rsidTr="005B5885">
        <w:tc>
          <w:tcPr>
            <w:tcW w:w="9576" w:type="dxa"/>
            <w:tcBorders>
              <w:top w:val="single" w:sz="12" w:space="0" w:color="17365D" w:themeColor="text2" w:themeShade="BF"/>
              <w:left w:val="nil"/>
              <w:bottom w:val="single" w:sz="4" w:space="0" w:color="auto"/>
              <w:right w:val="nil"/>
            </w:tcBorders>
          </w:tcPr>
          <w:p w:rsidR="00DE4D08" w:rsidRPr="00DE4D08" w:rsidRDefault="00DE4D08" w:rsidP="00C217F9">
            <w:pPr>
              <w:pStyle w:val="Heading3"/>
              <w:spacing w:before="0"/>
              <w:outlineLvl w:val="2"/>
            </w:pPr>
            <w:bookmarkStart w:id="30" w:name="_Toc489280876"/>
            <w:r w:rsidRPr="00C217F9">
              <w:rPr>
                <w:sz w:val="28"/>
              </w:rPr>
              <w:t>2.0 Responsibility of Case Management Agencies</w:t>
            </w:r>
            <w:bookmarkEnd w:id="30"/>
          </w:p>
        </w:tc>
      </w:tr>
    </w:tbl>
    <w:p w:rsidR="005B5885" w:rsidRDefault="005B5885" w:rsidP="005B5885">
      <w:pPr>
        <w:spacing w:after="0"/>
      </w:pPr>
    </w:p>
    <w:tbl>
      <w:tblPr>
        <w:tblStyle w:val="TableGrid"/>
        <w:tblW w:w="0" w:type="auto"/>
        <w:tblLook w:val="04A0" w:firstRow="1" w:lastRow="0" w:firstColumn="1" w:lastColumn="0" w:noHBand="0" w:noVBand="1"/>
      </w:tblPr>
      <w:tblGrid>
        <w:gridCol w:w="9576"/>
      </w:tblGrid>
      <w:tr w:rsidR="000D60AF" w:rsidTr="000D60AF">
        <w:tc>
          <w:tcPr>
            <w:tcW w:w="9576" w:type="dxa"/>
            <w:tcBorders>
              <w:top w:val="nil"/>
              <w:left w:val="nil"/>
              <w:bottom w:val="nil"/>
              <w:right w:val="nil"/>
            </w:tcBorders>
          </w:tcPr>
          <w:p w:rsidR="000D60AF" w:rsidRDefault="000D60AF" w:rsidP="005B5885">
            <w:pPr>
              <w:rPr>
                <w:rFonts w:cs="Arial"/>
              </w:rPr>
            </w:pPr>
            <w:r w:rsidRPr="00DE4D08">
              <w:rPr>
                <w:rFonts w:cs="Arial"/>
              </w:rPr>
              <w:t>The Purpose of the Responsibility of Case Management Agencies is to establish the scope of work for the coordi</w:t>
            </w:r>
            <w:r>
              <w:rPr>
                <w:rFonts w:cs="Arial"/>
              </w:rPr>
              <w:t>nating of oral health services.</w:t>
            </w:r>
          </w:p>
        </w:tc>
      </w:tr>
    </w:tbl>
    <w:p w:rsidR="00DE4D08" w:rsidRPr="00DE4D08" w:rsidRDefault="00DE4D08" w:rsidP="00DE4D08">
      <w:pPr>
        <w:spacing w:after="0" w:line="240" w:lineRule="auto"/>
        <w:jc w:val="both"/>
        <w:rPr>
          <w:rFonts w:ascii="Arial" w:hAnsi="Arial" w:cs="Arial"/>
          <w:sz w:val="24"/>
        </w:rPr>
      </w:pPr>
    </w:p>
    <w:tbl>
      <w:tblPr>
        <w:tblStyle w:val="TableGrid7"/>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40"/>
        <w:gridCol w:w="720"/>
        <w:gridCol w:w="3960"/>
      </w:tblGrid>
      <w:tr w:rsidR="00DE4D08" w:rsidRPr="00DE4D08" w:rsidTr="00C217F9">
        <w:tc>
          <w:tcPr>
            <w:tcW w:w="9558" w:type="dxa"/>
            <w:gridSpan w:val="4"/>
            <w:shd w:val="clear" w:color="auto" w:fill="17365D" w:themeFill="text2" w:themeFillShade="BF"/>
          </w:tcPr>
          <w:p w:rsidR="00DE4D08" w:rsidRPr="00DE4D08" w:rsidRDefault="00DE4D08" w:rsidP="00C217F9">
            <w:pPr>
              <w:pStyle w:val="Heading4"/>
              <w:spacing w:before="0"/>
              <w:outlineLvl w:val="3"/>
            </w:pPr>
            <w:r w:rsidRPr="00C217F9">
              <w:rPr>
                <w:color w:val="FFFFFF" w:themeColor="background1"/>
                <w:sz w:val="28"/>
              </w:rPr>
              <w:t>2.0 Responsibility of Case Management Agencies</w:t>
            </w:r>
          </w:p>
        </w:tc>
      </w:tr>
      <w:tr w:rsidR="00C217F9" w:rsidRPr="00DE4D08" w:rsidTr="00C217F9">
        <w:tc>
          <w:tcPr>
            <w:tcW w:w="4878" w:type="dxa"/>
            <w:gridSpan w:val="2"/>
            <w:vAlign w:val="center"/>
          </w:tcPr>
          <w:p w:rsidR="00C217F9" w:rsidRPr="00DE4D08" w:rsidRDefault="00C217F9" w:rsidP="00DE4D08">
            <w:pPr>
              <w:jc w:val="center"/>
              <w:rPr>
                <w:rFonts w:cs="Arial"/>
                <w:b/>
                <w:sz w:val="28"/>
              </w:rPr>
            </w:pPr>
          </w:p>
        </w:tc>
        <w:tc>
          <w:tcPr>
            <w:tcW w:w="4680" w:type="dxa"/>
            <w:gridSpan w:val="2"/>
            <w:vAlign w:val="center"/>
          </w:tcPr>
          <w:p w:rsidR="00C217F9" w:rsidRPr="00DE4D08" w:rsidRDefault="00C217F9" w:rsidP="00DE4D08">
            <w:pPr>
              <w:jc w:val="center"/>
              <w:rPr>
                <w:rFonts w:cs="Arial"/>
                <w:b/>
                <w:sz w:val="28"/>
              </w:rPr>
            </w:pPr>
          </w:p>
        </w:tc>
      </w:tr>
      <w:tr w:rsidR="00DE4D08" w:rsidRPr="00DE4D08" w:rsidTr="00C217F9">
        <w:tc>
          <w:tcPr>
            <w:tcW w:w="4878" w:type="dxa"/>
            <w:gridSpan w:val="2"/>
            <w:tcBorders>
              <w:bottom w:val="single" w:sz="12" w:space="0" w:color="17365D" w:themeColor="text2" w:themeShade="BF"/>
              <w:right w:val="single" w:sz="12" w:space="0" w:color="17365D" w:themeColor="text2" w:themeShade="BF"/>
            </w:tcBorders>
            <w:vAlign w:val="center"/>
          </w:tcPr>
          <w:p w:rsidR="00DE4D08" w:rsidRPr="00457B6E" w:rsidRDefault="00DE4D08" w:rsidP="00DE4D08">
            <w:pPr>
              <w:jc w:val="center"/>
              <w:rPr>
                <w:rStyle w:val="BookTitle"/>
              </w:rPr>
            </w:pPr>
            <w:r w:rsidRPr="00457B6E">
              <w:rPr>
                <w:rStyle w:val="BookTitle"/>
              </w:rPr>
              <w:t>Standards</w:t>
            </w:r>
          </w:p>
        </w:tc>
        <w:tc>
          <w:tcPr>
            <w:tcW w:w="4680" w:type="dxa"/>
            <w:gridSpan w:val="2"/>
            <w:tcBorders>
              <w:left w:val="single" w:sz="12" w:space="0" w:color="17365D" w:themeColor="text2" w:themeShade="BF"/>
              <w:bottom w:val="single" w:sz="12" w:space="0" w:color="17365D" w:themeColor="text2" w:themeShade="BF"/>
            </w:tcBorders>
            <w:vAlign w:val="center"/>
          </w:tcPr>
          <w:p w:rsidR="00DE4D08" w:rsidRPr="00457B6E" w:rsidRDefault="00DE4D08" w:rsidP="00DE4D08">
            <w:pPr>
              <w:jc w:val="center"/>
              <w:rPr>
                <w:rStyle w:val="BookTitle"/>
              </w:rPr>
            </w:pPr>
            <w:r w:rsidRPr="00457B6E">
              <w:rPr>
                <w:rStyle w:val="BookTitle"/>
              </w:rPr>
              <w:t>Measures</w:t>
            </w:r>
          </w:p>
        </w:tc>
      </w:tr>
      <w:tr w:rsidR="00DE4D08" w:rsidRPr="00457B6E" w:rsidTr="00DE4D08">
        <w:tc>
          <w:tcPr>
            <w:tcW w:w="738"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2.1</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vAlign w:val="center"/>
          </w:tcPr>
          <w:p w:rsidR="00DE4D08" w:rsidRPr="00457B6E" w:rsidRDefault="00DE4D08" w:rsidP="00457B6E">
            <w:pPr>
              <w:rPr>
                <w:rFonts w:cs="Arial"/>
                <w:szCs w:val="24"/>
              </w:rPr>
            </w:pPr>
            <w:r w:rsidRPr="00457B6E">
              <w:rPr>
                <w:rFonts w:cs="Arial"/>
                <w:szCs w:val="24"/>
              </w:rPr>
              <w:t>The case management agency shall maintain a list of approved oral health providers in all four counties.</w:t>
            </w:r>
          </w:p>
          <w:p w:rsidR="00DE4D08" w:rsidRPr="00457B6E" w:rsidRDefault="00DE4D08" w:rsidP="00457B6E">
            <w:pPr>
              <w:rPr>
                <w:rFonts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2.1</w:t>
            </w:r>
          </w:p>
        </w:tc>
        <w:tc>
          <w:tcPr>
            <w:tcW w:w="3960"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Up to date list available at agency for review.</w:t>
            </w:r>
          </w:p>
        </w:tc>
      </w:tr>
      <w:tr w:rsidR="00DE4D08" w:rsidRPr="00457B6E" w:rsidTr="00DE4D08">
        <w:tc>
          <w:tcPr>
            <w:tcW w:w="738"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2.2</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457B6E" w:rsidRDefault="00DE4D08" w:rsidP="00457B6E">
            <w:pPr>
              <w:rPr>
                <w:rFonts w:cs="Arial"/>
                <w:szCs w:val="24"/>
              </w:rPr>
            </w:pPr>
            <w:r w:rsidRPr="00457B6E">
              <w:rPr>
                <w:rFonts w:cs="Arial"/>
                <w:szCs w:val="24"/>
              </w:rPr>
              <w:t>Case Management Agency shall schedule and coordinate all initial oral health appointments and educate consumers about importance of keeping their follow up appointments.</w:t>
            </w:r>
          </w:p>
          <w:p w:rsidR="00DE4D08" w:rsidRPr="00457B6E" w:rsidRDefault="00DE4D08" w:rsidP="00457B6E">
            <w:pPr>
              <w:rPr>
                <w:rFonts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2.2</w:t>
            </w:r>
          </w:p>
        </w:tc>
        <w:tc>
          <w:tcPr>
            <w:tcW w:w="3960"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Documentation in consumer record</w:t>
            </w:r>
          </w:p>
        </w:tc>
      </w:tr>
      <w:tr w:rsidR="00DE4D08" w:rsidRPr="00457B6E" w:rsidTr="00DE4D08">
        <w:tc>
          <w:tcPr>
            <w:tcW w:w="738"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2.3</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457B6E" w:rsidRDefault="00DE4D08" w:rsidP="00457B6E">
            <w:pPr>
              <w:rPr>
                <w:rFonts w:cs="Arial"/>
                <w:szCs w:val="24"/>
              </w:rPr>
            </w:pPr>
            <w:r w:rsidRPr="00457B6E">
              <w:rPr>
                <w:rFonts w:cs="Arial"/>
                <w:szCs w:val="24"/>
              </w:rPr>
              <w:t>The Case Management Agency is responsible for educating the consumer regarding the missed appointment policy of the assigned provider at their initial contact.</w:t>
            </w:r>
          </w:p>
          <w:p w:rsidR="00DE4D08" w:rsidRPr="00457B6E" w:rsidRDefault="00DE4D08" w:rsidP="00457B6E">
            <w:pPr>
              <w:rPr>
                <w:rFonts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2.3</w:t>
            </w:r>
          </w:p>
        </w:tc>
        <w:tc>
          <w:tcPr>
            <w:tcW w:w="3960"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Documentation of missed appointment policy provided to consumers.</w:t>
            </w:r>
          </w:p>
        </w:tc>
      </w:tr>
      <w:tr w:rsidR="00DE4D08" w:rsidRPr="00457B6E" w:rsidTr="00DE4D08">
        <w:tc>
          <w:tcPr>
            <w:tcW w:w="738"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2.4</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457B6E" w:rsidRDefault="00DE4D08" w:rsidP="00457B6E">
            <w:pPr>
              <w:rPr>
                <w:rFonts w:cs="Arial"/>
                <w:szCs w:val="24"/>
              </w:rPr>
            </w:pPr>
            <w:r w:rsidRPr="00457B6E">
              <w:rPr>
                <w:rFonts w:cs="Arial"/>
                <w:szCs w:val="24"/>
              </w:rPr>
              <w:t>The Case Management Agency is responsible for educating the consumer regarding the missed appointment policy of the assigned provider at their initial contact.</w:t>
            </w:r>
          </w:p>
          <w:p w:rsidR="00DE4D08" w:rsidRPr="00457B6E" w:rsidRDefault="00DE4D08" w:rsidP="00457B6E">
            <w:pPr>
              <w:rPr>
                <w:rFonts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2.4</w:t>
            </w:r>
          </w:p>
        </w:tc>
        <w:tc>
          <w:tcPr>
            <w:tcW w:w="3960"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Documentation or referral and linkage in consumer record.</w:t>
            </w:r>
          </w:p>
        </w:tc>
      </w:tr>
      <w:tr w:rsidR="00DE4D08" w:rsidRPr="00457B6E" w:rsidTr="00DE4D08">
        <w:tc>
          <w:tcPr>
            <w:tcW w:w="738"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2.5</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457B6E" w:rsidRDefault="00DE4D08" w:rsidP="00457B6E">
            <w:pPr>
              <w:rPr>
                <w:rFonts w:cs="Arial"/>
                <w:szCs w:val="24"/>
              </w:rPr>
            </w:pPr>
            <w:r w:rsidRPr="00457B6E">
              <w:rPr>
                <w:rFonts w:cs="Arial"/>
                <w:szCs w:val="24"/>
              </w:rPr>
              <w:t xml:space="preserve">A complete and approved treatment plan shall be maintained by the Case Management Agency to facilitate scheduling of follow up appointments and management of the annual cost cap. A copy of the </w:t>
            </w:r>
            <w:r w:rsidRPr="00457B6E">
              <w:rPr>
                <w:rFonts w:cs="Arial"/>
                <w:szCs w:val="24"/>
              </w:rPr>
              <w:lastRenderedPageBreak/>
              <w:t>approved treatment plan shall be provided to the consumer</w:t>
            </w:r>
            <w:r w:rsidR="00C217F9" w:rsidRPr="00457B6E">
              <w:rPr>
                <w:rFonts w:cs="Arial"/>
                <w:szCs w:val="24"/>
              </w:rPr>
              <w:t>.</w:t>
            </w:r>
          </w:p>
          <w:p w:rsidR="00DE4D08" w:rsidRPr="00457B6E" w:rsidRDefault="00DE4D08" w:rsidP="00457B6E">
            <w:pPr>
              <w:rPr>
                <w:rFonts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lastRenderedPageBreak/>
              <w:t>2.5</w:t>
            </w:r>
          </w:p>
        </w:tc>
        <w:tc>
          <w:tcPr>
            <w:tcW w:w="3960"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Copy of signed, approved treatment plan in consumer file at case management agency</w:t>
            </w:r>
          </w:p>
        </w:tc>
      </w:tr>
      <w:tr w:rsidR="00DE4D08" w:rsidRPr="00457B6E" w:rsidTr="00DE4D08">
        <w:tc>
          <w:tcPr>
            <w:tcW w:w="738"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lastRenderedPageBreak/>
              <w:t>2.6</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457B6E" w:rsidRDefault="00DE4D08" w:rsidP="00457B6E">
            <w:pPr>
              <w:rPr>
                <w:rFonts w:cs="Arial"/>
                <w:szCs w:val="24"/>
              </w:rPr>
            </w:pPr>
            <w:r w:rsidRPr="00457B6E">
              <w:rPr>
                <w:rFonts w:cs="Arial"/>
                <w:szCs w:val="24"/>
              </w:rPr>
              <w:t>Each eligible consumer is permitted two cleanings (oral prophylaxis) per contract year.</w:t>
            </w:r>
          </w:p>
          <w:p w:rsidR="00DE4D08" w:rsidRPr="00457B6E" w:rsidRDefault="00DE4D08" w:rsidP="00457B6E">
            <w:pPr>
              <w:rPr>
                <w:rFonts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2.6</w:t>
            </w:r>
          </w:p>
        </w:tc>
        <w:tc>
          <w:tcPr>
            <w:tcW w:w="3960"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Explanation of Benefits in consumer record and documentation of services</w:t>
            </w:r>
          </w:p>
        </w:tc>
      </w:tr>
      <w:tr w:rsidR="00DE4D08" w:rsidRPr="00457B6E" w:rsidTr="00DE4D08">
        <w:tc>
          <w:tcPr>
            <w:tcW w:w="738"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2.7</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E9577A" w:rsidRPr="00457B6E" w:rsidRDefault="00DE4D08" w:rsidP="00457B6E">
            <w:pPr>
              <w:rPr>
                <w:rFonts w:cs="Arial"/>
                <w:szCs w:val="24"/>
              </w:rPr>
            </w:pPr>
            <w:r w:rsidRPr="00457B6E">
              <w:rPr>
                <w:rFonts w:cs="Arial"/>
                <w:szCs w:val="24"/>
              </w:rPr>
              <w:t>Oral prophylaxis (cleaning), twice a year are not included in the annual cost cap.</w:t>
            </w: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2.7</w:t>
            </w:r>
          </w:p>
        </w:tc>
        <w:tc>
          <w:tcPr>
            <w:tcW w:w="3960"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Explanation of Benefits in consumer record and documentation of services</w:t>
            </w:r>
          </w:p>
        </w:tc>
      </w:tr>
      <w:tr w:rsidR="00DE4D08" w:rsidRPr="00457B6E" w:rsidTr="00DE4D08">
        <w:tc>
          <w:tcPr>
            <w:tcW w:w="738"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2.8</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457B6E" w:rsidRDefault="00DE4D08" w:rsidP="00457B6E">
            <w:pPr>
              <w:rPr>
                <w:rFonts w:cs="Arial"/>
                <w:szCs w:val="24"/>
              </w:rPr>
            </w:pPr>
            <w:r w:rsidRPr="00457B6E">
              <w:rPr>
                <w:rFonts w:cs="Arial"/>
                <w:szCs w:val="24"/>
              </w:rPr>
              <w:t>Initial appointments for urgent services (medical necessity) shall be given priority scheduling by the Case Management Agency.</w:t>
            </w:r>
          </w:p>
          <w:p w:rsidR="00DE4D08" w:rsidRPr="00457B6E" w:rsidRDefault="00DE4D08" w:rsidP="00457B6E">
            <w:pPr>
              <w:rPr>
                <w:rFonts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2.8</w:t>
            </w:r>
          </w:p>
        </w:tc>
        <w:tc>
          <w:tcPr>
            <w:tcW w:w="3960"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Medical referral, documentation of medical necessity on file (example: client verbalizes pain or abscess</w:t>
            </w:r>
          </w:p>
        </w:tc>
      </w:tr>
      <w:tr w:rsidR="00DE4D08" w:rsidRPr="00457B6E" w:rsidTr="00DE4D08">
        <w:tc>
          <w:tcPr>
            <w:tcW w:w="738"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2.9</w:t>
            </w:r>
          </w:p>
        </w:tc>
        <w:tc>
          <w:tcPr>
            <w:tcW w:w="4140" w:type="dxa"/>
            <w:tcBorders>
              <w:top w:val="single" w:sz="12" w:space="0" w:color="17365D" w:themeColor="text2" w:themeShade="BF"/>
              <w:bottom w:val="single" w:sz="12" w:space="0" w:color="17365D" w:themeColor="text2" w:themeShade="BF"/>
              <w:right w:val="single" w:sz="12" w:space="0" w:color="17365D" w:themeColor="text2" w:themeShade="BF"/>
            </w:tcBorders>
          </w:tcPr>
          <w:p w:rsidR="00DE4D08" w:rsidRPr="00457B6E" w:rsidRDefault="00DE4D08" w:rsidP="00457B6E">
            <w:pPr>
              <w:rPr>
                <w:rFonts w:cs="Arial"/>
                <w:szCs w:val="24"/>
              </w:rPr>
            </w:pPr>
            <w:r w:rsidRPr="00457B6E">
              <w:rPr>
                <w:rFonts w:cs="Arial"/>
                <w:szCs w:val="24"/>
              </w:rPr>
              <w:t>In the event a waiting list needs to be maintained, the Grantee’s Office must be notified. The Case Management Agency shall maintain the waiting list with priority of need based on dentist recommendation.</w:t>
            </w:r>
          </w:p>
          <w:p w:rsidR="00DE4D08" w:rsidRPr="00457B6E" w:rsidRDefault="00DE4D08" w:rsidP="00457B6E">
            <w:pPr>
              <w:rPr>
                <w:rFonts w:cs="Arial"/>
                <w:szCs w:val="24"/>
              </w:rPr>
            </w:pPr>
          </w:p>
        </w:tc>
        <w:tc>
          <w:tcPr>
            <w:tcW w:w="720" w:type="dxa"/>
            <w:tcBorders>
              <w:top w:val="single" w:sz="12" w:space="0" w:color="17365D" w:themeColor="text2" w:themeShade="BF"/>
              <w:left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2.9</w:t>
            </w:r>
          </w:p>
        </w:tc>
        <w:tc>
          <w:tcPr>
            <w:tcW w:w="3960" w:type="dxa"/>
            <w:tcBorders>
              <w:top w:val="single" w:sz="12" w:space="0" w:color="17365D" w:themeColor="text2" w:themeShade="BF"/>
              <w:bottom w:val="single" w:sz="12" w:space="0" w:color="17365D" w:themeColor="text2" w:themeShade="BF"/>
            </w:tcBorders>
          </w:tcPr>
          <w:p w:rsidR="00DE4D08" w:rsidRPr="00457B6E" w:rsidRDefault="00DE4D08" w:rsidP="00457B6E">
            <w:pPr>
              <w:rPr>
                <w:rFonts w:cs="Arial"/>
                <w:szCs w:val="24"/>
              </w:rPr>
            </w:pPr>
            <w:r w:rsidRPr="00457B6E">
              <w:rPr>
                <w:rFonts w:cs="Arial"/>
                <w:szCs w:val="24"/>
              </w:rPr>
              <w:t>Waiting lists</w:t>
            </w:r>
          </w:p>
        </w:tc>
      </w:tr>
    </w:tbl>
    <w:p w:rsidR="00DE4D08" w:rsidRPr="00457B6E" w:rsidRDefault="00DE4D08" w:rsidP="00457B6E">
      <w:pPr>
        <w:spacing w:after="0" w:line="240" w:lineRule="auto"/>
        <w:jc w:val="both"/>
        <w:rPr>
          <w:rFonts w:ascii="Arial" w:hAnsi="Arial" w:cs="Arial"/>
          <w:sz w:val="24"/>
          <w:szCs w:val="24"/>
        </w:rPr>
      </w:pPr>
    </w:p>
    <w:p w:rsidR="006D33F2" w:rsidRPr="00457B6E" w:rsidRDefault="006D33F2" w:rsidP="00457B6E">
      <w:pPr>
        <w:spacing w:after="0" w:line="240" w:lineRule="auto"/>
        <w:jc w:val="both"/>
        <w:rPr>
          <w:rFonts w:ascii="Arial" w:hAnsi="Arial" w:cs="Arial"/>
          <w:sz w:val="24"/>
          <w:szCs w:val="24"/>
        </w:rPr>
      </w:pPr>
    </w:p>
    <w:p w:rsidR="001B74CB" w:rsidRPr="00F50815" w:rsidRDefault="001B74CB" w:rsidP="006D33F2">
      <w:pPr>
        <w:spacing w:after="0" w:line="240" w:lineRule="auto"/>
        <w:jc w:val="both"/>
        <w:rPr>
          <w:rFonts w:ascii="Arial" w:hAnsi="Arial" w:cs="Arial"/>
          <w:sz w:val="24"/>
          <w:szCs w:val="24"/>
        </w:rPr>
      </w:pPr>
    </w:p>
    <w:p w:rsidR="001B74CB" w:rsidRPr="00F50815" w:rsidRDefault="001B74CB" w:rsidP="006D33F2">
      <w:pPr>
        <w:spacing w:after="0" w:line="240" w:lineRule="auto"/>
        <w:jc w:val="both"/>
        <w:rPr>
          <w:rFonts w:ascii="Arial" w:hAnsi="Arial" w:cs="Arial"/>
          <w:sz w:val="24"/>
          <w:szCs w:val="24"/>
        </w:rPr>
      </w:pPr>
    </w:p>
    <w:p w:rsidR="001B74CB" w:rsidRPr="00F50815" w:rsidRDefault="001B74CB" w:rsidP="006D33F2">
      <w:pPr>
        <w:spacing w:after="0" w:line="240" w:lineRule="auto"/>
        <w:jc w:val="both"/>
        <w:rPr>
          <w:rFonts w:ascii="Arial" w:hAnsi="Arial" w:cs="Arial"/>
          <w:sz w:val="24"/>
          <w:szCs w:val="24"/>
        </w:rPr>
      </w:pPr>
    </w:p>
    <w:p w:rsidR="001B74CB" w:rsidRPr="00F50815" w:rsidRDefault="001B74CB" w:rsidP="006D33F2">
      <w:pPr>
        <w:spacing w:after="0" w:line="240" w:lineRule="auto"/>
        <w:jc w:val="both"/>
        <w:rPr>
          <w:rFonts w:ascii="Arial" w:hAnsi="Arial" w:cs="Arial"/>
          <w:sz w:val="24"/>
          <w:szCs w:val="24"/>
        </w:rPr>
      </w:pPr>
    </w:p>
    <w:p w:rsidR="001B74CB" w:rsidRPr="00F50815" w:rsidRDefault="001B74CB" w:rsidP="006D33F2">
      <w:pPr>
        <w:spacing w:after="0" w:line="240" w:lineRule="auto"/>
        <w:jc w:val="both"/>
        <w:rPr>
          <w:rFonts w:ascii="Arial" w:hAnsi="Arial" w:cs="Arial"/>
          <w:sz w:val="24"/>
          <w:szCs w:val="24"/>
        </w:rPr>
      </w:pPr>
    </w:p>
    <w:p w:rsidR="001B74CB" w:rsidRPr="00F50815" w:rsidRDefault="001B74CB" w:rsidP="006D33F2">
      <w:pPr>
        <w:spacing w:after="0" w:line="240" w:lineRule="auto"/>
        <w:jc w:val="both"/>
        <w:rPr>
          <w:rFonts w:ascii="Arial" w:hAnsi="Arial" w:cs="Arial"/>
          <w:sz w:val="24"/>
          <w:szCs w:val="24"/>
        </w:rPr>
      </w:pPr>
    </w:p>
    <w:p w:rsidR="001B74CB" w:rsidRDefault="001B74CB" w:rsidP="006D33F2">
      <w:pPr>
        <w:spacing w:after="0" w:line="240" w:lineRule="auto"/>
        <w:jc w:val="both"/>
        <w:rPr>
          <w:rFonts w:ascii="Arial" w:hAnsi="Arial" w:cs="Arial"/>
          <w:sz w:val="24"/>
        </w:rPr>
      </w:pPr>
    </w:p>
    <w:p w:rsidR="001B74CB" w:rsidRDefault="001B74CB" w:rsidP="006D33F2">
      <w:pPr>
        <w:spacing w:after="0" w:line="240" w:lineRule="auto"/>
        <w:jc w:val="both"/>
        <w:rPr>
          <w:rFonts w:ascii="Arial" w:hAnsi="Arial" w:cs="Arial"/>
          <w:sz w:val="24"/>
        </w:rPr>
      </w:pPr>
    </w:p>
    <w:p w:rsidR="001B74CB" w:rsidRDefault="001B74CB" w:rsidP="006D33F2">
      <w:pPr>
        <w:spacing w:after="0" w:line="240" w:lineRule="auto"/>
        <w:jc w:val="both"/>
        <w:rPr>
          <w:rFonts w:ascii="Arial" w:hAnsi="Arial" w:cs="Arial"/>
          <w:sz w:val="24"/>
        </w:rPr>
        <w:sectPr w:rsidR="001B74CB" w:rsidSect="00B30500">
          <w:footerReference w:type="default" r:id="rId40"/>
          <w:footerReference w:type="first" r:id="rId41"/>
          <w:pgSz w:w="12240" w:h="15840" w:code="1"/>
          <w:pgMar w:top="1296" w:right="1440" w:bottom="1296" w:left="1440" w:header="720" w:footer="432" w:gutter="0"/>
          <w:cols w:space="720"/>
          <w:titlePg/>
          <w:docGrid w:linePitch="360"/>
        </w:sectPr>
      </w:pPr>
    </w:p>
    <w:tbl>
      <w:tblPr>
        <w:tblStyle w:val="TableGrid"/>
        <w:tblW w:w="0" w:type="auto"/>
        <w:shd w:val="clear" w:color="auto" w:fill="17365D" w:themeFill="text2" w:themeFillShade="BF"/>
        <w:tblLook w:val="04A0" w:firstRow="1" w:lastRow="0" w:firstColumn="1" w:lastColumn="0" w:noHBand="0" w:noVBand="1"/>
      </w:tblPr>
      <w:tblGrid>
        <w:gridCol w:w="9576"/>
      </w:tblGrid>
      <w:tr w:rsidR="001B74CB" w:rsidRPr="00304877" w:rsidTr="000D60AF">
        <w:tc>
          <w:tcPr>
            <w:tcW w:w="9576" w:type="dxa"/>
            <w:tcBorders>
              <w:bottom w:val="nil"/>
            </w:tcBorders>
            <w:shd w:val="clear" w:color="auto" w:fill="17365D" w:themeFill="text2" w:themeFillShade="BF"/>
            <w:vAlign w:val="center"/>
          </w:tcPr>
          <w:p w:rsidR="001B74CB" w:rsidRPr="00304877" w:rsidRDefault="001B74CB" w:rsidP="00C217F9">
            <w:pPr>
              <w:pStyle w:val="Heading2"/>
              <w:spacing w:before="0"/>
              <w:jc w:val="center"/>
              <w:outlineLvl w:val="1"/>
              <w:rPr>
                <w:sz w:val="32"/>
              </w:rPr>
            </w:pPr>
            <w:bookmarkStart w:id="31" w:name="_Early_Intervention_Services"/>
            <w:bookmarkStart w:id="32" w:name="_Toc489280877"/>
            <w:bookmarkEnd w:id="31"/>
            <w:r w:rsidRPr="00304877">
              <w:rPr>
                <w:color w:val="FFFFFF" w:themeColor="background1"/>
                <w:sz w:val="32"/>
              </w:rPr>
              <w:lastRenderedPageBreak/>
              <w:t>Early Intervention Services</w:t>
            </w:r>
            <w:bookmarkEnd w:id="32"/>
          </w:p>
        </w:tc>
      </w:tr>
    </w:tbl>
    <w:p w:rsidR="005B5885" w:rsidRDefault="005B5885" w:rsidP="005B5885">
      <w:pPr>
        <w:spacing w:after="0"/>
      </w:pPr>
    </w:p>
    <w:tbl>
      <w:tblPr>
        <w:tblStyle w:val="TableGrid"/>
        <w:tblW w:w="0" w:type="auto"/>
        <w:tblLook w:val="04A0" w:firstRow="1" w:lastRow="0" w:firstColumn="1" w:lastColumn="0" w:noHBand="0" w:noVBand="1"/>
      </w:tblPr>
      <w:tblGrid>
        <w:gridCol w:w="9576"/>
      </w:tblGrid>
      <w:tr w:rsidR="000D60AF" w:rsidTr="000D60AF">
        <w:tc>
          <w:tcPr>
            <w:tcW w:w="9576" w:type="dxa"/>
            <w:tcBorders>
              <w:top w:val="nil"/>
              <w:left w:val="nil"/>
              <w:bottom w:val="nil"/>
              <w:right w:val="nil"/>
            </w:tcBorders>
          </w:tcPr>
          <w:p w:rsidR="000D60AF" w:rsidRDefault="000D60AF" w:rsidP="005B5885">
            <w:pPr>
              <w:shd w:val="clear" w:color="auto" w:fill="FFFFFF"/>
              <w:rPr>
                <w:rFonts w:eastAsia="Times New Roman" w:cs="Arial"/>
                <w:szCs w:val="24"/>
              </w:rPr>
            </w:pPr>
            <w:r>
              <w:rPr>
                <w:rFonts w:eastAsia="Times New Roman" w:cs="Arial"/>
                <w:b/>
                <w:szCs w:val="24"/>
              </w:rPr>
              <w:t>D</w:t>
            </w:r>
            <w:r w:rsidRPr="009724C7">
              <w:rPr>
                <w:rFonts w:eastAsia="Times New Roman" w:cs="Arial"/>
                <w:b/>
                <w:szCs w:val="24"/>
              </w:rPr>
              <w:t>efinition:</w:t>
            </w:r>
            <w:r w:rsidRPr="009724C7">
              <w:rPr>
                <w:rFonts w:eastAsia="Times New Roman" w:cs="Arial"/>
                <w:szCs w:val="24"/>
              </w:rPr>
              <w:t xml:space="preserve"> </w:t>
            </w:r>
          </w:p>
          <w:p w:rsidR="000D60AF" w:rsidRPr="009724C7" w:rsidRDefault="000D60AF" w:rsidP="000D60AF">
            <w:pPr>
              <w:shd w:val="clear" w:color="auto" w:fill="FFFFFF"/>
              <w:spacing w:after="100" w:afterAutospacing="1"/>
              <w:rPr>
                <w:rFonts w:eastAsia="Times New Roman" w:cs="Arial"/>
                <w:szCs w:val="24"/>
              </w:rPr>
            </w:pPr>
            <w:r w:rsidRPr="009724C7">
              <w:rPr>
                <w:rFonts w:eastAsia="Times New Roman" w:cs="Arial"/>
                <w:szCs w:val="24"/>
              </w:rPr>
              <w:t xml:space="preserve">Early intervention services (EIS) for Parts A and B include counseling individuals with respect to HIV/AIDS that includes information on </w:t>
            </w:r>
            <w:r w:rsidRPr="009724C7">
              <w:rPr>
                <w:rFonts w:eastAsia="Times New Roman" w:cs="Arial"/>
                <w:color w:val="000000"/>
                <w:szCs w:val="24"/>
              </w:rPr>
              <w:t>measures for prevention of, exposure to, and transmission of HIV/AIDS, hepatitis B, hepatitis C, and other sexually transmitted diseases</w:t>
            </w:r>
            <w:r w:rsidRPr="009724C7">
              <w:rPr>
                <w:rFonts w:eastAsia="Times New Roman" w:cs="Arial"/>
                <w:szCs w:val="24"/>
              </w:rPr>
              <w:t xml:space="preserve"> ; testing (including tests to confirm the presence of the disease, to diagnose the extent of immune deficiency, and to provide information on appropriate therapeutic measures); referrals; other clinical and diagnostic services regarding HIV/AIDS; periodic medical evaluations for individuals with HIV/AIDS; and provision of therapeutic measures. EIS services must include the following four components:</w:t>
            </w:r>
          </w:p>
          <w:p w:rsidR="000D60AF" w:rsidRPr="005C100E" w:rsidRDefault="000D60AF" w:rsidP="001B1B43">
            <w:pPr>
              <w:pStyle w:val="ListParagraph"/>
              <w:numPr>
                <w:ilvl w:val="0"/>
                <w:numId w:val="107"/>
              </w:numPr>
              <w:rPr>
                <w:rFonts w:cs="Arial"/>
              </w:rPr>
            </w:pPr>
            <w:r w:rsidRPr="005C100E">
              <w:rPr>
                <w:rFonts w:cs="Arial"/>
              </w:rPr>
              <w:t>Targeted HIV testing to help the unaware learn of their HIV status and receive referral to HIV care and treatment services if found to be HIV-infected.</w:t>
            </w:r>
          </w:p>
          <w:p w:rsidR="000D60AF" w:rsidRPr="005C100E" w:rsidRDefault="000D60AF" w:rsidP="001B1B43">
            <w:pPr>
              <w:pStyle w:val="ListParagraph"/>
              <w:numPr>
                <w:ilvl w:val="1"/>
                <w:numId w:val="107"/>
              </w:numPr>
              <w:rPr>
                <w:rFonts w:cs="Arial"/>
              </w:rPr>
            </w:pPr>
            <w:r w:rsidRPr="005C100E">
              <w:rPr>
                <w:rFonts w:cs="Arial"/>
              </w:rPr>
              <w:t>These testing services must be coordinated with other HIV prevention and testing programs to avoid duplication of efforts.</w:t>
            </w:r>
          </w:p>
          <w:p w:rsidR="000D60AF" w:rsidRPr="005C100E" w:rsidRDefault="000D60AF" w:rsidP="001B1B43">
            <w:pPr>
              <w:pStyle w:val="ListParagraph"/>
              <w:numPr>
                <w:ilvl w:val="1"/>
                <w:numId w:val="107"/>
              </w:numPr>
              <w:rPr>
                <w:rFonts w:cs="Arial"/>
              </w:rPr>
            </w:pPr>
            <w:r w:rsidRPr="005C100E">
              <w:rPr>
                <w:rFonts w:cs="Arial"/>
              </w:rPr>
              <w:t>HIV testing paid for by EIS cannot supplant testing efforts paid for by other sources.</w:t>
            </w:r>
          </w:p>
          <w:p w:rsidR="000D60AF" w:rsidRPr="005C100E" w:rsidRDefault="000D60AF" w:rsidP="001B1B43">
            <w:pPr>
              <w:pStyle w:val="ListParagraph"/>
              <w:numPr>
                <w:ilvl w:val="0"/>
                <w:numId w:val="107"/>
              </w:numPr>
              <w:rPr>
                <w:rFonts w:cs="Arial"/>
              </w:rPr>
            </w:pPr>
            <w:r w:rsidRPr="005C100E">
              <w:rPr>
                <w:rFonts w:cs="Arial"/>
              </w:rPr>
              <w:t>Referral services to include HIV care and treatment services at key points of entry.</w:t>
            </w:r>
          </w:p>
          <w:p w:rsidR="000D60AF" w:rsidRPr="005C100E" w:rsidRDefault="000D60AF" w:rsidP="001B1B43">
            <w:pPr>
              <w:pStyle w:val="ListParagraph"/>
              <w:numPr>
                <w:ilvl w:val="0"/>
                <w:numId w:val="107"/>
              </w:numPr>
              <w:rPr>
                <w:rFonts w:cs="Arial"/>
              </w:rPr>
            </w:pPr>
            <w:r w:rsidRPr="005C100E">
              <w:rPr>
                <w:rFonts w:cs="Arial"/>
              </w:rPr>
              <w:t>Access and linkage to HIV care and treatment services such as HIV Outpatient/Ambulatory Health Services, Medical Case Management and Substance Abuse Care.</w:t>
            </w:r>
          </w:p>
          <w:p w:rsidR="000D60AF" w:rsidRPr="005C100E" w:rsidRDefault="000D60AF" w:rsidP="001B1B43">
            <w:pPr>
              <w:pStyle w:val="ListParagraph"/>
              <w:numPr>
                <w:ilvl w:val="0"/>
                <w:numId w:val="107"/>
              </w:numPr>
              <w:rPr>
                <w:rFonts w:cs="Arial"/>
              </w:rPr>
            </w:pPr>
            <w:r w:rsidRPr="005C100E">
              <w:rPr>
                <w:rFonts w:cs="Arial"/>
              </w:rPr>
              <w:t>Outreach services and Health Education/Risk Reduction related to HIV diagnosis.</w:t>
            </w:r>
          </w:p>
          <w:p w:rsidR="000D60AF" w:rsidRDefault="000D60AF" w:rsidP="000D60AF">
            <w:pPr>
              <w:spacing w:before="240"/>
              <w:rPr>
                <w:rFonts w:cs="Arial"/>
              </w:rPr>
            </w:pPr>
            <w:r w:rsidRPr="009724C7">
              <w:rPr>
                <w:rFonts w:cs="Arial"/>
                <w:b/>
              </w:rPr>
              <w:t>Eligibility</w:t>
            </w:r>
            <w:r w:rsidRPr="009724C7">
              <w:rPr>
                <w:rFonts w:cs="Arial"/>
              </w:rPr>
              <w:t xml:space="preserve">: </w:t>
            </w:r>
          </w:p>
          <w:p w:rsidR="000D60AF" w:rsidRPr="000D60AF" w:rsidRDefault="000D60AF" w:rsidP="000D60AF">
            <w:pPr>
              <w:rPr>
                <w:rFonts w:cs="Arial"/>
              </w:rPr>
            </w:pPr>
            <w:r w:rsidRPr="009724C7">
              <w:rPr>
                <w:rFonts w:cs="Arial"/>
              </w:rPr>
              <w:t>Consumers recently diagnosed with HIV disease or consumers who know their status but have been out of care for more tha</w:t>
            </w:r>
            <w:r>
              <w:rPr>
                <w:rFonts w:cs="Arial"/>
              </w:rPr>
              <w:t>n six (6) months.</w:t>
            </w:r>
          </w:p>
        </w:tc>
      </w:tr>
    </w:tbl>
    <w:p w:rsidR="009724C7" w:rsidRDefault="009724C7" w:rsidP="009724C7">
      <w:pPr>
        <w:spacing w:after="0" w:line="240" w:lineRule="auto"/>
        <w:ind w:left="720"/>
        <w:contextualSpacing/>
        <w:jc w:val="both"/>
        <w:rPr>
          <w:rFonts w:ascii="Arial" w:hAnsi="Arial" w:cs="Arial"/>
          <w:sz w:val="24"/>
        </w:rPr>
      </w:pPr>
    </w:p>
    <w:tbl>
      <w:tblPr>
        <w:tblStyle w:val="TableGrid7"/>
        <w:tblW w:w="0" w:type="auto"/>
        <w:tblLook w:val="04A0" w:firstRow="1" w:lastRow="0" w:firstColumn="1" w:lastColumn="0" w:noHBand="0" w:noVBand="1"/>
      </w:tblPr>
      <w:tblGrid>
        <w:gridCol w:w="9576"/>
      </w:tblGrid>
      <w:tr w:rsidR="00C217F9" w:rsidRPr="00DE4D08" w:rsidTr="000D1F19">
        <w:tc>
          <w:tcPr>
            <w:tcW w:w="9576" w:type="dxa"/>
            <w:tcBorders>
              <w:top w:val="single" w:sz="12" w:space="0" w:color="17365D" w:themeColor="text2" w:themeShade="BF"/>
              <w:left w:val="nil"/>
              <w:bottom w:val="single" w:sz="12" w:space="0" w:color="17365D" w:themeColor="text2" w:themeShade="BF"/>
              <w:right w:val="nil"/>
            </w:tcBorders>
          </w:tcPr>
          <w:p w:rsidR="00C217F9" w:rsidRPr="00DE4D08" w:rsidRDefault="00C217F9" w:rsidP="000D1F19">
            <w:pPr>
              <w:pStyle w:val="Heading3"/>
              <w:spacing w:before="0"/>
              <w:outlineLvl w:val="2"/>
            </w:pPr>
            <w:bookmarkStart w:id="33" w:name="_Toc489280878"/>
            <w:r w:rsidRPr="00C217F9">
              <w:rPr>
                <w:sz w:val="28"/>
              </w:rPr>
              <w:t>1.0 Agency Policies and Procedures</w:t>
            </w:r>
            <w:bookmarkEnd w:id="33"/>
          </w:p>
        </w:tc>
      </w:tr>
    </w:tbl>
    <w:p w:rsidR="009724C7" w:rsidRDefault="009724C7" w:rsidP="009724C7">
      <w:pPr>
        <w:spacing w:after="0" w:line="240" w:lineRule="auto"/>
        <w:jc w:val="both"/>
        <w:rPr>
          <w:rFonts w:ascii="Arial" w:hAnsi="Arial" w:cs="Arial"/>
          <w:sz w:val="24"/>
          <w:szCs w:val="20"/>
        </w:rPr>
      </w:pPr>
    </w:p>
    <w:tbl>
      <w:tblPr>
        <w:tblStyle w:val="TableGrid"/>
        <w:tblW w:w="0" w:type="auto"/>
        <w:tblLook w:val="04A0" w:firstRow="1" w:lastRow="0" w:firstColumn="1" w:lastColumn="0" w:noHBand="0" w:noVBand="1"/>
      </w:tblPr>
      <w:tblGrid>
        <w:gridCol w:w="9576"/>
      </w:tblGrid>
      <w:tr w:rsidR="000D60AF" w:rsidTr="000D60AF">
        <w:tc>
          <w:tcPr>
            <w:tcW w:w="9576" w:type="dxa"/>
            <w:tcBorders>
              <w:top w:val="nil"/>
              <w:left w:val="nil"/>
              <w:bottom w:val="nil"/>
              <w:right w:val="nil"/>
            </w:tcBorders>
          </w:tcPr>
          <w:p w:rsidR="000D60AF" w:rsidRDefault="000D60AF" w:rsidP="000D60AF">
            <w:pPr>
              <w:rPr>
                <w:rFonts w:cs="Arial"/>
              </w:rPr>
            </w:pPr>
            <w:r w:rsidRPr="009724C7">
              <w:rPr>
                <w:rFonts w:cs="Arial"/>
              </w:rPr>
              <w:t>The Agencies shall have Policies and Procedures to ensure that the services are accessible to all eligible consumers.  The Agency policy and procedures will ensure compliance with the following Standards.</w:t>
            </w:r>
          </w:p>
        </w:tc>
      </w:tr>
    </w:tbl>
    <w:p w:rsidR="009724C7" w:rsidRPr="009724C7" w:rsidRDefault="009724C7" w:rsidP="009724C7">
      <w:pPr>
        <w:spacing w:after="0" w:line="240" w:lineRule="auto"/>
        <w:jc w:val="both"/>
        <w:rPr>
          <w:rFonts w:ascii="Arial" w:hAnsi="Arial" w:cs="Arial"/>
          <w:sz w:val="24"/>
        </w:rPr>
      </w:pPr>
    </w:p>
    <w:tbl>
      <w:tblPr>
        <w:tblStyle w:val="TableGrid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9724C7" w:rsidRPr="009724C7" w:rsidTr="00C217F9">
        <w:tc>
          <w:tcPr>
            <w:tcW w:w="9558" w:type="dxa"/>
            <w:gridSpan w:val="4"/>
            <w:shd w:val="clear" w:color="auto" w:fill="17365D" w:themeFill="text2" w:themeFillShade="BF"/>
          </w:tcPr>
          <w:p w:rsidR="009724C7" w:rsidRPr="009724C7" w:rsidRDefault="009724C7" w:rsidP="00C217F9">
            <w:pPr>
              <w:pStyle w:val="Heading4"/>
              <w:spacing w:before="0"/>
              <w:outlineLvl w:val="3"/>
            </w:pPr>
            <w:r w:rsidRPr="00C217F9">
              <w:rPr>
                <w:color w:val="FFFFFF" w:themeColor="background1"/>
                <w:sz w:val="28"/>
              </w:rPr>
              <w:t>1.0 Agency Policies and Procedures</w:t>
            </w:r>
          </w:p>
        </w:tc>
      </w:tr>
      <w:tr w:rsidR="00C217F9" w:rsidRPr="009724C7" w:rsidTr="00C217F9">
        <w:tc>
          <w:tcPr>
            <w:tcW w:w="4896" w:type="dxa"/>
            <w:gridSpan w:val="2"/>
            <w:vAlign w:val="center"/>
          </w:tcPr>
          <w:p w:rsidR="00C217F9" w:rsidRPr="009724C7" w:rsidRDefault="00C217F9" w:rsidP="009724C7">
            <w:pPr>
              <w:jc w:val="center"/>
              <w:rPr>
                <w:rFonts w:cs="Arial"/>
                <w:b/>
                <w:sz w:val="28"/>
              </w:rPr>
            </w:pPr>
          </w:p>
        </w:tc>
        <w:tc>
          <w:tcPr>
            <w:tcW w:w="4662" w:type="dxa"/>
            <w:gridSpan w:val="2"/>
            <w:vAlign w:val="center"/>
          </w:tcPr>
          <w:p w:rsidR="00C217F9" w:rsidRPr="009724C7" w:rsidRDefault="00C217F9" w:rsidP="009724C7">
            <w:pPr>
              <w:jc w:val="center"/>
              <w:rPr>
                <w:rFonts w:cs="Arial"/>
                <w:b/>
                <w:sz w:val="28"/>
              </w:rPr>
            </w:pPr>
          </w:p>
        </w:tc>
      </w:tr>
      <w:tr w:rsidR="009724C7" w:rsidRPr="009724C7" w:rsidTr="00C217F9">
        <w:tc>
          <w:tcPr>
            <w:tcW w:w="4896" w:type="dxa"/>
            <w:gridSpan w:val="2"/>
            <w:tcBorders>
              <w:bottom w:val="single" w:sz="12" w:space="0" w:color="17365D" w:themeColor="text2" w:themeShade="BF"/>
              <w:right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Measures</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457B6E">
            <w:pPr>
              <w:rPr>
                <w:rFonts w:cs="Arial"/>
                <w:szCs w:val="24"/>
              </w:rPr>
            </w:pPr>
            <w:r w:rsidRPr="00F50815">
              <w:rPr>
                <w:rFonts w:cs="Arial"/>
                <w:szCs w:val="24"/>
              </w:rPr>
              <w:t>The agency shall maintain information about each EIS Coordinator’s case load, which includes, at a minimum:</w:t>
            </w:r>
          </w:p>
          <w:p w:rsidR="009724C7" w:rsidRPr="00F50815" w:rsidRDefault="009724C7" w:rsidP="001B1B43">
            <w:pPr>
              <w:pStyle w:val="ListParagraph"/>
              <w:numPr>
                <w:ilvl w:val="0"/>
                <w:numId w:val="43"/>
              </w:numPr>
              <w:rPr>
                <w:rFonts w:cs="Arial"/>
                <w:szCs w:val="24"/>
              </w:rPr>
            </w:pPr>
            <w:r w:rsidRPr="00F50815">
              <w:rPr>
                <w:rFonts w:cs="Arial"/>
                <w:szCs w:val="24"/>
              </w:rPr>
              <w:t>The assigned EIS coordinator</w:t>
            </w:r>
          </w:p>
          <w:p w:rsidR="009724C7" w:rsidRPr="00F50815" w:rsidRDefault="009724C7" w:rsidP="001B1B43">
            <w:pPr>
              <w:pStyle w:val="ListParagraph"/>
              <w:numPr>
                <w:ilvl w:val="0"/>
                <w:numId w:val="43"/>
              </w:numPr>
              <w:rPr>
                <w:rFonts w:cs="Arial"/>
                <w:szCs w:val="24"/>
              </w:rPr>
            </w:pPr>
            <w:r w:rsidRPr="00F50815">
              <w:rPr>
                <w:rFonts w:cs="Arial"/>
                <w:szCs w:val="24"/>
              </w:rPr>
              <w:t xml:space="preserve">Number of cases per full-time </w:t>
            </w:r>
            <w:r w:rsidRPr="00F50815">
              <w:rPr>
                <w:rFonts w:cs="Arial"/>
                <w:szCs w:val="24"/>
              </w:rPr>
              <w:lastRenderedPageBreak/>
              <w:t>equivalent (FTE)</w:t>
            </w:r>
          </w:p>
          <w:p w:rsidR="009724C7" w:rsidRPr="00F50815" w:rsidRDefault="009724C7" w:rsidP="001B1B43">
            <w:pPr>
              <w:pStyle w:val="ListParagraph"/>
              <w:numPr>
                <w:ilvl w:val="0"/>
                <w:numId w:val="43"/>
              </w:numPr>
              <w:rPr>
                <w:rFonts w:cs="Arial"/>
                <w:szCs w:val="24"/>
              </w:rPr>
            </w:pPr>
            <w:r w:rsidRPr="00F50815">
              <w:rPr>
                <w:rFonts w:cs="Arial"/>
                <w:szCs w:val="24"/>
              </w:rPr>
              <w:t xml:space="preserve">The acuity of each consumer. </w:t>
            </w:r>
          </w:p>
          <w:p w:rsidR="009724C7" w:rsidRPr="00F50815" w:rsidRDefault="009724C7" w:rsidP="00457B6E">
            <w:pPr>
              <w:pStyle w:val="ListParagraph"/>
              <w:rPr>
                <w:rFonts w:cs="Arial"/>
                <w:szCs w:val="24"/>
              </w:rPr>
            </w:pPr>
            <w:r w:rsidRPr="00F50815">
              <w:rPr>
                <w:rFonts w:cs="Arial"/>
                <w:szCs w:val="24"/>
              </w:rPr>
              <w:t xml:space="preserve"> </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lastRenderedPageBreak/>
              <w:t>1.1</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Documentation in agency record</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lastRenderedPageBreak/>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457B6E">
            <w:pPr>
              <w:spacing w:line="276" w:lineRule="auto"/>
              <w:rPr>
                <w:rFonts w:cs="Arial"/>
                <w:szCs w:val="24"/>
              </w:rPr>
            </w:pPr>
            <w:r w:rsidRPr="00F50815">
              <w:rPr>
                <w:rFonts w:cs="Arial"/>
                <w:szCs w:val="24"/>
              </w:rPr>
              <w:t>EIS Coordinators shall receive 15 hours of training annually and topics shall include:</w:t>
            </w:r>
          </w:p>
          <w:p w:rsidR="009724C7" w:rsidRPr="00F50815" w:rsidRDefault="009724C7" w:rsidP="001B1B43">
            <w:pPr>
              <w:pStyle w:val="ListParagraph"/>
              <w:numPr>
                <w:ilvl w:val="0"/>
                <w:numId w:val="59"/>
              </w:numPr>
              <w:rPr>
                <w:rFonts w:cs="Arial"/>
                <w:szCs w:val="24"/>
              </w:rPr>
            </w:pPr>
            <w:r w:rsidRPr="00F50815">
              <w:rPr>
                <w:rFonts w:cs="Arial"/>
                <w:szCs w:val="24"/>
              </w:rPr>
              <w:t>Establishing rapport and a professional relationship with the consumer;</w:t>
            </w:r>
          </w:p>
          <w:p w:rsidR="009724C7" w:rsidRPr="00F50815" w:rsidRDefault="009724C7" w:rsidP="001B1B43">
            <w:pPr>
              <w:pStyle w:val="ListParagraph"/>
              <w:numPr>
                <w:ilvl w:val="0"/>
                <w:numId w:val="59"/>
              </w:numPr>
              <w:rPr>
                <w:rFonts w:cs="Arial"/>
                <w:szCs w:val="24"/>
              </w:rPr>
            </w:pPr>
            <w:r w:rsidRPr="00F50815">
              <w:rPr>
                <w:rFonts w:cs="Arial"/>
                <w:szCs w:val="24"/>
              </w:rPr>
              <w:t>Methods of engaging individuals;</w:t>
            </w:r>
          </w:p>
          <w:p w:rsidR="009724C7" w:rsidRPr="00F50815" w:rsidRDefault="009724C7" w:rsidP="001B1B43">
            <w:pPr>
              <w:pStyle w:val="ListParagraph"/>
              <w:numPr>
                <w:ilvl w:val="0"/>
                <w:numId w:val="59"/>
              </w:numPr>
              <w:rPr>
                <w:rFonts w:cs="Arial"/>
                <w:szCs w:val="24"/>
              </w:rPr>
            </w:pPr>
            <w:r w:rsidRPr="00F50815">
              <w:rPr>
                <w:rFonts w:cs="Arial"/>
                <w:szCs w:val="24"/>
              </w:rPr>
              <w:t>Special issues relating to working with the HIV/AIDS affected/infected population;</w:t>
            </w:r>
          </w:p>
          <w:p w:rsidR="009724C7" w:rsidRPr="00F50815" w:rsidRDefault="009724C7" w:rsidP="001B1B43">
            <w:pPr>
              <w:pStyle w:val="ListParagraph"/>
              <w:numPr>
                <w:ilvl w:val="0"/>
                <w:numId w:val="59"/>
              </w:numPr>
              <w:rPr>
                <w:rFonts w:cs="Arial"/>
                <w:szCs w:val="24"/>
              </w:rPr>
            </w:pPr>
            <w:r w:rsidRPr="00F50815">
              <w:rPr>
                <w:rFonts w:cs="Arial"/>
                <w:szCs w:val="24"/>
              </w:rPr>
              <w:t>Confidentiality/HIPAA and professional ethics;</w:t>
            </w:r>
          </w:p>
          <w:p w:rsidR="009724C7" w:rsidRPr="00F50815" w:rsidRDefault="009724C7" w:rsidP="001B1B43">
            <w:pPr>
              <w:pStyle w:val="ListParagraph"/>
              <w:numPr>
                <w:ilvl w:val="0"/>
                <w:numId w:val="59"/>
              </w:numPr>
              <w:rPr>
                <w:rFonts w:cs="Arial"/>
                <w:szCs w:val="24"/>
              </w:rPr>
            </w:pPr>
            <w:r w:rsidRPr="00F50815">
              <w:rPr>
                <w:rFonts w:cs="Arial"/>
                <w:szCs w:val="24"/>
              </w:rPr>
              <w:t>Knowledge of public assistance programs, eligibility requirements, and benefits; and,</w:t>
            </w:r>
          </w:p>
          <w:p w:rsidR="009724C7" w:rsidRPr="00F50815" w:rsidRDefault="009724C7" w:rsidP="001B1B43">
            <w:pPr>
              <w:pStyle w:val="ListParagraph"/>
              <w:numPr>
                <w:ilvl w:val="0"/>
                <w:numId w:val="59"/>
              </w:numPr>
              <w:rPr>
                <w:rFonts w:cs="Arial"/>
                <w:szCs w:val="24"/>
              </w:rPr>
            </w:pPr>
            <w:r w:rsidRPr="00F50815">
              <w:rPr>
                <w:rFonts w:cs="Arial"/>
                <w:szCs w:val="24"/>
              </w:rPr>
              <w:t>The Agency’s emergency plan, disaster relief resources, and planning and procedures.</w:t>
            </w:r>
          </w:p>
          <w:p w:rsidR="009724C7" w:rsidRPr="00F50815" w:rsidRDefault="009724C7" w:rsidP="00457B6E">
            <w:pPr>
              <w:spacing w:line="276" w:lineRule="auto"/>
              <w:ind w:left="360"/>
              <w:rPr>
                <w:rFonts w:cs="Arial"/>
                <w:szCs w:val="24"/>
              </w:rPr>
            </w:pPr>
          </w:p>
          <w:p w:rsidR="009724C7" w:rsidRPr="00F50815" w:rsidRDefault="009724C7" w:rsidP="00457B6E">
            <w:pPr>
              <w:rPr>
                <w:rFonts w:eastAsiaTheme="minorHAnsi" w:cs="Arial"/>
                <w:szCs w:val="24"/>
              </w:rPr>
            </w:pPr>
            <w:r w:rsidRPr="00F50815">
              <w:rPr>
                <w:rFonts w:eastAsiaTheme="minorHAnsi" w:cs="Arial"/>
                <w:szCs w:val="24"/>
              </w:rPr>
              <w:t>Training shall also include, but not be limited to, cultural sensitivity issues, case management issues, bio-psychosocial issues surrounding the HIV disease, and any other training proposed by the Recipient.</w:t>
            </w:r>
          </w:p>
          <w:p w:rsidR="009724C7" w:rsidRPr="00F50815" w:rsidRDefault="009724C7" w:rsidP="00457B6E">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1.2</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Documentation of the training subject matter, date(s) of attendance, and hours in training shall be in the training record. Training Certificates shall be in the personnel file.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457B6E">
            <w:pPr>
              <w:tabs>
                <w:tab w:val="center" w:pos="4680"/>
                <w:tab w:val="right" w:pos="9360"/>
              </w:tabs>
              <w:rPr>
                <w:rFonts w:cs="Arial"/>
                <w:szCs w:val="24"/>
              </w:rPr>
            </w:pPr>
            <w:r w:rsidRPr="00F50815">
              <w:rPr>
                <w:rFonts w:cs="Arial"/>
                <w:szCs w:val="24"/>
              </w:rPr>
              <w:t>All EIS Coordinators must meet at least one of the following staff qualifications:</w:t>
            </w:r>
          </w:p>
          <w:p w:rsidR="009724C7" w:rsidRPr="00F50815" w:rsidRDefault="009724C7" w:rsidP="001B1B43">
            <w:pPr>
              <w:pStyle w:val="ListParagraph"/>
              <w:numPr>
                <w:ilvl w:val="0"/>
                <w:numId w:val="60"/>
              </w:numPr>
              <w:rPr>
                <w:rFonts w:cs="Arial"/>
                <w:szCs w:val="24"/>
              </w:rPr>
            </w:pPr>
            <w:r w:rsidRPr="00F50815">
              <w:rPr>
                <w:rFonts w:cs="Arial"/>
                <w:szCs w:val="24"/>
              </w:rPr>
              <w:t>Associate or bachelor level degree in a social science or health discipline and at least one (1) year of case management experience;</w:t>
            </w:r>
          </w:p>
          <w:p w:rsidR="009724C7" w:rsidRPr="00F50815" w:rsidRDefault="009724C7" w:rsidP="001B1B43">
            <w:pPr>
              <w:pStyle w:val="ListParagraph"/>
              <w:numPr>
                <w:ilvl w:val="0"/>
                <w:numId w:val="60"/>
              </w:numPr>
              <w:rPr>
                <w:rFonts w:cs="Arial"/>
                <w:szCs w:val="24"/>
              </w:rPr>
            </w:pPr>
            <w:r w:rsidRPr="00F50815">
              <w:rPr>
                <w:rFonts w:cs="Arial"/>
                <w:szCs w:val="24"/>
              </w:rPr>
              <w:t>An individual with an associate or bachelor degree in disciplines other than health or social science shall have at least one (1) year of direct HIV/AIDS case management experience.</w:t>
            </w:r>
          </w:p>
          <w:p w:rsidR="009724C7" w:rsidRPr="00F50815" w:rsidRDefault="009724C7" w:rsidP="001B1B43">
            <w:pPr>
              <w:pStyle w:val="ListParagraph"/>
              <w:numPr>
                <w:ilvl w:val="0"/>
                <w:numId w:val="60"/>
              </w:numPr>
              <w:rPr>
                <w:rFonts w:cs="Arial"/>
                <w:szCs w:val="24"/>
              </w:rPr>
            </w:pPr>
            <w:r w:rsidRPr="00F50815">
              <w:rPr>
                <w:szCs w:val="24"/>
              </w:rPr>
              <w:lastRenderedPageBreak/>
              <w:t>With 2 years of verifiable experience case managing individuals with HIV at an established agency can substitute on a year-for-year basis for an Associate degree. Note: Use of this qualification must be preapproved by the recipient.</w:t>
            </w:r>
          </w:p>
          <w:p w:rsidR="00BF740C" w:rsidRPr="00F50815" w:rsidRDefault="00BF740C" w:rsidP="00457B6E">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lastRenderedPageBreak/>
              <w:t>1.3</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Appropriate degrees, licensure and/or certification in personnel file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lastRenderedPageBreak/>
              <w:t>1.4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457B6E">
            <w:pPr>
              <w:rPr>
                <w:rFonts w:cs="Arial"/>
                <w:b/>
                <w:szCs w:val="24"/>
              </w:rPr>
            </w:pPr>
            <w:r w:rsidRPr="00F50815">
              <w:rPr>
                <w:rFonts w:cs="Arial"/>
                <w:szCs w:val="24"/>
              </w:rPr>
              <w:t xml:space="preserve">All EIS supervisors must meet the following requirement: </w:t>
            </w:r>
          </w:p>
          <w:p w:rsidR="009724C7" w:rsidRPr="00F50815" w:rsidRDefault="009724C7" w:rsidP="001B1B43">
            <w:pPr>
              <w:pStyle w:val="ListParagraph"/>
              <w:numPr>
                <w:ilvl w:val="0"/>
                <w:numId w:val="61"/>
              </w:numPr>
              <w:rPr>
                <w:rFonts w:cs="Arial"/>
                <w:b/>
                <w:szCs w:val="24"/>
              </w:rPr>
            </w:pPr>
            <w:r w:rsidRPr="00F50815">
              <w:rPr>
                <w:rFonts w:cs="Arial"/>
                <w:szCs w:val="24"/>
              </w:rPr>
              <w:t xml:space="preserve">Hold a Master level degree in the fields of mental health, social work, and counseling, nursing with a mental health experience, sociology or psychology. </w:t>
            </w:r>
          </w:p>
          <w:p w:rsidR="009724C7" w:rsidRPr="00F50815" w:rsidRDefault="009724C7" w:rsidP="00457B6E">
            <w:pPr>
              <w:rPr>
                <w:rFonts w:cs="Arial"/>
                <w:szCs w:val="24"/>
              </w:rPr>
            </w:pPr>
            <w:r w:rsidRPr="00F50815">
              <w:rPr>
                <w:rFonts w:cs="Arial"/>
                <w:szCs w:val="24"/>
              </w:rPr>
              <w:t xml:space="preserve">(How much case management experience?) </w:t>
            </w:r>
          </w:p>
          <w:p w:rsidR="009724C7" w:rsidRPr="00F50815" w:rsidRDefault="009724C7" w:rsidP="001B1B43">
            <w:pPr>
              <w:pStyle w:val="ListParagraph"/>
              <w:numPr>
                <w:ilvl w:val="0"/>
                <w:numId w:val="61"/>
              </w:numPr>
              <w:rPr>
                <w:rFonts w:cs="Arial"/>
                <w:b/>
                <w:szCs w:val="24"/>
              </w:rPr>
            </w:pPr>
            <w:r w:rsidRPr="00F50815">
              <w:rPr>
                <w:rFonts w:cs="Arial"/>
                <w:szCs w:val="24"/>
              </w:rPr>
              <w:t>With case management experience and appropriate credentials, unless otherwise approved by the recipient.</w:t>
            </w:r>
          </w:p>
          <w:p w:rsidR="008E7A53" w:rsidRDefault="008E7A53" w:rsidP="008E7A53">
            <w:pPr>
              <w:rPr>
                <w:rFonts w:cs="Arial"/>
                <w:b/>
                <w:szCs w:val="24"/>
              </w:rPr>
            </w:pPr>
          </w:p>
          <w:p w:rsidR="009724C7" w:rsidRPr="008E7A53" w:rsidRDefault="009724C7" w:rsidP="008E7A53">
            <w:pPr>
              <w:rPr>
                <w:rFonts w:cs="Arial"/>
                <w:b/>
                <w:szCs w:val="24"/>
              </w:rPr>
            </w:pPr>
            <w:r w:rsidRPr="008E7A53">
              <w:rPr>
                <w:rFonts w:cs="Arial"/>
                <w:b/>
                <w:szCs w:val="24"/>
              </w:rPr>
              <w:t>Note: This requirement may be waived by the recipient.</w:t>
            </w:r>
          </w:p>
          <w:p w:rsidR="009724C7" w:rsidRPr="00F50815" w:rsidRDefault="009724C7" w:rsidP="00457B6E">
            <w:pPr>
              <w:ind w:left="720"/>
              <w:rPr>
                <w:rFonts w:cs="Arial"/>
                <w:b/>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1.4</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Appropriate degrees, licensure and/or certification in personnel file.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457B6E">
            <w:pPr>
              <w:rPr>
                <w:rFonts w:cs="Arial"/>
                <w:szCs w:val="24"/>
              </w:rPr>
            </w:pPr>
            <w:r w:rsidRPr="00F50815">
              <w:rPr>
                <w:rFonts w:cs="Arial"/>
                <w:szCs w:val="24"/>
              </w:rPr>
              <w:t>EIS supervisors shall have at least 12 hours of training annually as approved by the Grantee’s office. At least six (6) of the twelve (12) hours shall be leadership training; other training topics shall include the following:</w:t>
            </w:r>
          </w:p>
          <w:p w:rsidR="009724C7" w:rsidRPr="00F50815" w:rsidRDefault="009724C7" w:rsidP="001B1B43">
            <w:pPr>
              <w:pStyle w:val="ListParagraph"/>
              <w:numPr>
                <w:ilvl w:val="0"/>
                <w:numId w:val="62"/>
              </w:numPr>
              <w:rPr>
                <w:rFonts w:cs="Arial"/>
                <w:szCs w:val="24"/>
              </w:rPr>
            </w:pPr>
            <w:r w:rsidRPr="00F50815">
              <w:rPr>
                <w:rFonts w:cs="Arial"/>
                <w:szCs w:val="24"/>
              </w:rPr>
              <w:t>The basics of HIV care and treatment;</w:t>
            </w:r>
          </w:p>
          <w:p w:rsidR="009724C7" w:rsidRPr="00F50815" w:rsidRDefault="009724C7" w:rsidP="001B1B43">
            <w:pPr>
              <w:pStyle w:val="ListParagraph"/>
              <w:numPr>
                <w:ilvl w:val="0"/>
                <w:numId w:val="62"/>
              </w:numPr>
              <w:rPr>
                <w:rFonts w:cs="Arial"/>
                <w:szCs w:val="24"/>
              </w:rPr>
            </w:pPr>
            <w:r w:rsidRPr="00F50815">
              <w:rPr>
                <w:rFonts w:cs="Arial"/>
                <w:szCs w:val="24"/>
              </w:rPr>
              <w:t>Appropriate boundaries;</w:t>
            </w:r>
          </w:p>
          <w:p w:rsidR="009724C7" w:rsidRPr="00F50815" w:rsidRDefault="009724C7" w:rsidP="001B1B43">
            <w:pPr>
              <w:pStyle w:val="ListParagraph"/>
              <w:numPr>
                <w:ilvl w:val="0"/>
                <w:numId w:val="62"/>
              </w:numPr>
              <w:rPr>
                <w:rFonts w:cs="Arial"/>
                <w:szCs w:val="24"/>
              </w:rPr>
            </w:pPr>
            <w:r w:rsidRPr="00F50815">
              <w:rPr>
                <w:rFonts w:cs="Arial"/>
                <w:szCs w:val="24"/>
              </w:rPr>
              <w:t xml:space="preserve">Necessary communication skills relating to specific HIV issues such as principles for treatment and housing, precautions for caregivers and HIV-infected individuals, and pre-and post-test counseling and social and legal aspects relevant to this </w:t>
            </w:r>
            <w:r w:rsidRPr="00F50815">
              <w:rPr>
                <w:rFonts w:cs="Arial"/>
                <w:szCs w:val="24"/>
              </w:rPr>
              <w:lastRenderedPageBreak/>
              <w:t>service population.</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lastRenderedPageBreak/>
              <w:t>1.5</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Documentation of the training shall be in the employee training record. Training certificates shall be in the employee file.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lastRenderedPageBreak/>
              <w:t>1.6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457B6E">
            <w:pPr>
              <w:rPr>
                <w:rFonts w:cs="Arial"/>
                <w:szCs w:val="24"/>
              </w:rPr>
            </w:pPr>
            <w:r w:rsidRPr="00F50815">
              <w:rPr>
                <w:rFonts w:cs="Arial"/>
                <w:szCs w:val="24"/>
              </w:rPr>
              <w:t>EIS agencies shall demonstrate active collaboration with other agencies to provide referral to the full spectrum of HIV related or other needed services.</w:t>
            </w:r>
          </w:p>
          <w:p w:rsidR="009724C7" w:rsidRPr="00F50815" w:rsidRDefault="009724C7" w:rsidP="00457B6E">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1.6</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Current Memorandum of Agreements (MOA) on file.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457B6E">
            <w:pPr>
              <w:rPr>
                <w:rFonts w:cs="Arial"/>
                <w:szCs w:val="24"/>
              </w:rPr>
            </w:pPr>
            <w:r w:rsidRPr="00F50815">
              <w:rPr>
                <w:rFonts w:cs="Arial"/>
                <w:szCs w:val="24"/>
              </w:rPr>
              <w:t>EIS agencies shall maintain appropriate relationships with Key Points of Entry (KPOE), as defined by HRSA, into the health care system.</w:t>
            </w:r>
          </w:p>
          <w:p w:rsidR="009724C7" w:rsidRPr="00F50815" w:rsidRDefault="009724C7" w:rsidP="00457B6E">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1.7</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Current MOA(s) on file.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 xml:space="preserve">1.8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457B6E">
            <w:pPr>
              <w:rPr>
                <w:rFonts w:cs="Arial"/>
                <w:szCs w:val="24"/>
              </w:rPr>
            </w:pPr>
            <w:r w:rsidRPr="00F50815">
              <w:rPr>
                <w:rFonts w:cs="Arial"/>
                <w:szCs w:val="24"/>
              </w:rPr>
              <w:t>EIS agencies shall conduct outreach activities for potential consumers to promote the availability of services. Outreach activities shall include but are not limited to:</w:t>
            </w:r>
          </w:p>
          <w:p w:rsidR="009724C7" w:rsidRPr="00F50815" w:rsidRDefault="009724C7" w:rsidP="001B1B43">
            <w:pPr>
              <w:numPr>
                <w:ilvl w:val="0"/>
                <w:numId w:val="27"/>
              </w:numPr>
              <w:rPr>
                <w:rFonts w:cs="Arial"/>
                <w:szCs w:val="24"/>
              </w:rPr>
            </w:pPr>
            <w:r w:rsidRPr="00F50815">
              <w:rPr>
                <w:rFonts w:cs="Arial"/>
                <w:szCs w:val="24"/>
              </w:rPr>
              <w:t>Participation in health fairs;</w:t>
            </w:r>
          </w:p>
          <w:p w:rsidR="009724C7" w:rsidRPr="00F50815" w:rsidRDefault="009724C7" w:rsidP="001B1B43">
            <w:pPr>
              <w:numPr>
                <w:ilvl w:val="0"/>
                <w:numId w:val="27"/>
              </w:numPr>
              <w:rPr>
                <w:rFonts w:cs="Arial"/>
                <w:szCs w:val="24"/>
              </w:rPr>
            </w:pPr>
            <w:r w:rsidRPr="00F50815">
              <w:rPr>
                <w:rFonts w:cs="Arial"/>
                <w:szCs w:val="24"/>
              </w:rPr>
              <w:t>Participation in community events;</w:t>
            </w:r>
          </w:p>
          <w:p w:rsidR="009724C7" w:rsidRPr="00F50815" w:rsidRDefault="009724C7" w:rsidP="001B1B43">
            <w:pPr>
              <w:numPr>
                <w:ilvl w:val="0"/>
                <w:numId w:val="27"/>
              </w:numPr>
              <w:rPr>
                <w:rFonts w:cs="Arial"/>
                <w:szCs w:val="24"/>
              </w:rPr>
            </w:pPr>
            <w:r w:rsidRPr="00F50815">
              <w:rPr>
                <w:rFonts w:cs="Arial"/>
                <w:szCs w:val="24"/>
              </w:rPr>
              <w:t>Collaboration with other providers; and,</w:t>
            </w:r>
          </w:p>
          <w:p w:rsidR="009724C7" w:rsidRPr="00F50815" w:rsidRDefault="009724C7" w:rsidP="001B1B43">
            <w:pPr>
              <w:numPr>
                <w:ilvl w:val="0"/>
                <w:numId w:val="27"/>
              </w:numPr>
              <w:rPr>
                <w:rFonts w:cs="Arial"/>
                <w:szCs w:val="24"/>
              </w:rPr>
            </w:pPr>
            <w:r w:rsidRPr="00F50815">
              <w:rPr>
                <w:rFonts w:cs="Arial"/>
                <w:szCs w:val="24"/>
              </w:rPr>
              <w:t>Posting of flyers for potential consumers.</w:t>
            </w:r>
          </w:p>
          <w:p w:rsidR="009724C7" w:rsidRPr="00F50815" w:rsidRDefault="009724C7" w:rsidP="00457B6E">
            <w:pPr>
              <w:ind w:left="720"/>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1.8</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Documentation of outreach activities in PE.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1.9</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457B6E">
            <w:pPr>
              <w:rPr>
                <w:rFonts w:cs="Arial"/>
                <w:szCs w:val="24"/>
              </w:rPr>
            </w:pPr>
            <w:r w:rsidRPr="00F50815">
              <w:rPr>
                <w:rFonts w:cs="Arial"/>
                <w:szCs w:val="24"/>
              </w:rPr>
              <w:t>EIS agencies shall develop an outreach plan and provide evidence of such arrangements to the recipient upon request.</w:t>
            </w:r>
          </w:p>
          <w:p w:rsidR="009724C7" w:rsidRPr="00F50815" w:rsidRDefault="009724C7" w:rsidP="00457B6E">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1.9</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457B6E">
            <w:pPr>
              <w:rPr>
                <w:rFonts w:cs="Arial"/>
                <w:szCs w:val="24"/>
              </w:rPr>
            </w:pPr>
            <w:r w:rsidRPr="00F50815">
              <w:rPr>
                <w:rFonts w:cs="Arial"/>
                <w:szCs w:val="24"/>
              </w:rPr>
              <w:t>Outreach plan available upon request.</w:t>
            </w:r>
          </w:p>
        </w:tc>
      </w:tr>
    </w:tbl>
    <w:p w:rsidR="009724C7" w:rsidRDefault="009724C7" w:rsidP="009724C7">
      <w:pPr>
        <w:spacing w:after="0" w:line="240" w:lineRule="auto"/>
        <w:jc w:val="both"/>
        <w:rPr>
          <w:rFonts w:ascii="Arial" w:hAnsi="Arial" w:cs="Arial"/>
          <w:sz w:val="24"/>
        </w:rPr>
      </w:pPr>
    </w:p>
    <w:tbl>
      <w:tblPr>
        <w:tblStyle w:val="TableGrid7"/>
        <w:tblW w:w="0" w:type="auto"/>
        <w:tblLook w:val="04A0" w:firstRow="1" w:lastRow="0" w:firstColumn="1" w:lastColumn="0" w:noHBand="0" w:noVBand="1"/>
      </w:tblPr>
      <w:tblGrid>
        <w:gridCol w:w="9576"/>
      </w:tblGrid>
      <w:tr w:rsidR="00BF740C" w:rsidRPr="00DE4D08" w:rsidTr="00304877">
        <w:tc>
          <w:tcPr>
            <w:tcW w:w="9576" w:type="dxa"/>
            <w:tcBorders>
              <w:top w:val="single" w:sz="12" w:space="0" w:color="17365D" w:themeColor="text2" w:themeShade="BF"/>
              <w:left w:val="nil"/>
              <w:bottom w:val="single" w:sz="12" w:space="0" w:color="17365D" w:themeColor="text2" w:themeShade="BF"/>
              <w:right w:val="nil"/>
            </w:tcBorders>
          </w:tcPr>
          <w:p w:rsidR="00BF740C" w:rsidRPr="00DE4D08" w:rsidRDefault="00BF740C" w:rsidP="00304877">
            <w:pPr>
              <w:pStyle w:val="Heading3"/>
              <w:spacing w:before="0"/>
              <w:outlineLvl w:val="2"/>
            </w:pPr>
            <w:bookmarkStart w:id="34" w:name="_Toc489280879"/>
            <w:r w:rsidRPr="00BF740C">
              <w:rPr>
                <w:sz w:val="28"/>
              </w:rPr>
              <w:t>2.0 Eligibility Assessment</w:t>
            </w:r>
            <w:bookmarkEnd w:id="34"/>
          </w:p>
        </w:tc>
      </w:tr>
    </w:tbl>
    <w:p w:rsidR="009724C7" w:rsidRDefault="009724C7" w:rsidP="009724C7">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0D60AF" w:rsidTr="000D60AF">
        <w:tc>
          <w:tcPr>
            <w:tcW w:w="9576" w:type="dxa"/>
            <w:tcBorders>
              <w:top w:val="nil"/>
              <w:left w:val="nil"/>
              <w:bottom w:val="nil"/>
              <w:right w:val="nil"/>
            </w:tcBorders>
          </w:tcPr>
          <w:p w:rsidR="000D60AF" w:rsidRDefault="000D60AF" w:rsidP="000D60AF">
            <w:pPr>
              <w:rPr>
                <w:rFonts w:cs="Arial"/>
              </w:rPr>
            </w:pPr>
            <w:r w:rsidRPr="009724C7">
              <w:rPr>
                <w:rFonts w:cs="Arial"/>
              </w:rPr>
              <w:t>EIS Coordinators shall determine eligibility for services as evidenced by documentation via an eligibility assessment. Verification that the client meets the current eligibility requirements must be obtained prior to payment for services.</w:t>
            </w:r>
          </w:p>
        </w:tc>
      </w:tr>
    </w:tbl>
    <w:p w:rsidR="009724C7" w:rsidRPr="009724C7" w:rsidRDefault="009724C7" w:rsidP="009724C7">
      <w:pPr>
        <w:spacing w:after="0" w:line="240" w:lineRule="auto"/>
        <w:jc w:val="both"/>
        <w:rPr>
          <w:rFonts w:ascii="Arial" w:hAnsi="Arial" w:cs="Arial"/>
          <w:sz w:val="24"/>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
        <w:gridCol w:w="102"/>
        <w:gridCol w:w="4151"/>
        <w:gridCol w:w="7"/>
        <w:gridCol w:w="629"/>
        <w:gridCol w:w="73"/>
        <w:gridCol w:w="3960"/>
        <w:gridCol w:w="18"/>
      </w:tblGrid>
      <w:tr w:rsidR="009724C7" w:rsidRPr="009724C7" w:rsidTr="00BF740C">
        <w:trPr>
          <w:gridAfter w:val="1"/>
          <w:wAfter w:w="18" w:type="dxa"/>
        </w:trPr>
        <w:tc>
          <w:tcPr>
            <w:tcW w:w="9558" w:type="dxa"/>
            <w:gridSpan w:val="7"/>
            <w:shd w:val="clear" w:color="auto" w:fill="17365D" w:themeFill="text2" w:themeFillShade="BF"/>
          </w:tcPr>
          <w:p w:rsidR="009724C7" w:rsidRPr="009724C7" w:rsidRDefault="009724C7" w:rsidP="00BF740C">
            <w:pPr>
              <w:pStyle w:val="Heading4"/>
              <w:spacing w:before="0"/>
              <w:outlineLvl w:val="3"/>
            </w:pPr>
            <w:r w:rsidRPr="00BF740C">
              <w:rPr>
                <w:color w:val="FFFFFF" w:themeColor="background1"/>
                <w:sz w:val="28"/>
              </w:rPr>
              <w:t>2.0 Eligibility Assessment</w:t>
            </w:r>
          </w:p>
        </w:tc>
      </w:tr>
      <w:tr w:rsidR="00BF740C" w:rsidRPr="009724C7" w:rsidTr="00BF740C">
        <w:trPr>
          <w:gridAfter w:val="1"/>
          <w:wAfter w:w="18" w:type="dxa"/>
        </w:trPr>
        <w:tc>
          <w:tcPr>
            <w:tcW w:w="4896" w:type="dxa"/>
            <w:gridSpan w:val="4"/>
            <w:vAlign w:val="center"/>
          </w:tcPr>
          <w:p w:rsidR="00BF740C" w:rsidRPr="009724C7" w:rsidRDefault="00BF740C" w:rsidP="009724C7">
            <w:pPr>
              <w:jc w:val="center"/>
              <w:rPr>
                <w:rFonts w:cs="Arial"/>
                <w:b/>
                <w:sz w:val="28"/>
              </w:rPr>
            </w:pPr>
          </w:p>
        </w:tc>
        <w:tc>
          <w:tcPr>
            <w:tcW w:w="4662" w:type="dxa"/>
            <w:gridSpan w:val="3"/>
            <w:vAlign w:val="center"/>
          </w:tcPr>
          <w:p w:rsidR="00BF740C" w:rsidRPr="009724C7" w:rsidRDefault="00BF740C" w:rsidP="009724C7">
            <w:pPr>
              <w:jc w:val="center"/>
              <w:rPr>
                <w:rFonts w:cs="Arial"/>
                <w:b/>
                <w:sz w:val="28"/>
              </w:rPr>
            </w:pPr>
          </w:p>
        </w:tc>
      </w:tr>
      <w:tr w:rsidR="009724C7" w:rsidRPr="009724C7" w:rsidTr="00BF740C">
        <w:trPr>
          <w:gridAfter w:val="1"/>
          <w:wAfter w:w="18" w:type="dxa"/>
        </w:trPr>
        <w:tc>
          <w:tcPr>
            <w:tcW w:w="4896" w:type="dxa"/>
            <w:gridSpan w:val="4"/>
            <w:tcBorders>
              <w:bottom w:val="single" w:sz="12" w:space="0" w:color="17365D" w:themeColor="text2" w:themeShade="BF"/>
              <w:right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Measures</w:t>
            </w:r>
          </w:p>
        </w:tc>
      </w:tr>
      <w:tr w:rsidR="009724C7" w:rsidRPr="009724C7" w:rsidTr="00271BEE">
        <w:tc>
          <w:tcPr>
            <w:tcW w:w="636" w:type="dxa"/>
            <w:tcBorders>
              <w:top w:val="single" w:sz="12" w:space="0" w:color="17365D" w:themeColor="text2" w:themeShade="BF"/>
              <w:bottom w:val="single" w:sz="12" w:space="0" w:color="17365D" w:themeColor="text2" w:themeShade="BF"/>
            </w:tcBorders>
          </w:tcPr>
          <w:p w:rsidR="009724C7" w:rsidRPr="00F50815" w:rsidRDefault="009724C7" w:rsidP="009724C7">
            <w:pPr>
              <w:rPr>
                <w:rFonts w:cs="Arial"/>
              </w:rPr>
            </w:pPr>
            <w:r w:rsidRPr="00F50815">
              <w:rPr>
                <w:rFonts w:cs="Arial"/>
              </w:rPr>
              <w:t>2.1</w:t>
            </w:r>
          </w:p>
        </w:tc>
        <w:tc>
          <w:tcPr>
            <w:tcW w:w="4253" w:type="dxa"/>
            <w:gridSpan w:val="2"/>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9724C7">
            <w:pPr>
              <w:rPr>
                <w:rFonts w:cs="Arial"/>
              </w:rPr>
            </w:pPr>
            <w:r w:rsidRPr="00F50815">
              <w:rPr>
                <w:rFonts w:cs="Arial"/>
              </w:rPr>
              <w:t xml:space="preserve">Eligibility assessment shall ensure all required documents are present and filed in Provide Enterprise (PE) Consumers shall be informed of their </w:t>
            </w:r>
            <w:r w:rsidRPr="00F50815">
              <w:rPr>
                <w:rFonts w:cs="Arial"/>
              </w:rPr>
              <w:lastRenderedPageBreak/>
              <w:t>right to:</w:t>
            </w:r>
          </w:p>
          <w:p w:rsidR="009724C7" w:rsidRPr="00F50815" w:rsidRDefault="009724C7" w:rsidP="001B1B43">
            <w:pPr>
              <w:pStyle w:val="ListParagraph"/>
              <w:numPr>
                <w:ilvl w:val="0"/>
                <w:numId w:val="44"/>
              </w:numPr>
              <w:rPr>
                <w:rFonts w:cs="Arial"/>
              </w:rPr>
            </w:pPr>
            <w:r w:rsidRPr="00F50815">
              <w:rPr>
                <w:rFonts w:cs="Arial"/>
              </w:rPr>
              <w:t>Confidentiality in accordance with state and federal laws;</w:t>
            </w:r>
          </w:p>
          <w:p w:rsidR="009724C7" w:rsidRPr="00F50815" w:rsidRDefault="009724C7" w:rsidP="001B1B43">
            <w:pPr>
              <w:pStyle w:val="ListParagraph"/>
              <w:numPr>
                <w:ilvl w:val="0"/>
                <w:numId w:val="44"/>
              </w:numPr>
              <w:rPr>
                <w:rFonts w:cs="Arial"/>
              </w:rPr>
            </w:pPr>
            <w:r w:rsidRPr="00F50815">
              <w:rPr>
                <w:rFonts w:cs="Arial"/>
              </w:rPr>
              <w:t>Choice of providers;</w:t>
            </w:r>
          </w:p>
          <w:p w:rsidR="009724C7" w:rsidRPr="00F50815" w:rsidRDefault="009724C7" w:rsidP="001B1B43">
            <w:pPr>
              <w:pStyle w:val="ListParagraph"/>
              <w:numPr>
                <w:ilvl w:val="0"/>
                <w:numId w:val="44"/>
              </w:numPr>
              <w:rPr>
                <w:rFonts w:cs="Arial"/>
              </w:rPr>
            </w:pPr>
            <w:r w:rsidRPr="00F50815">
              <w:rPr>
                <w:rFonts w:cs="Arial"/>
              </w:rPr>
              <w:t>Explanation of grievance procedures; and</w:t>
            </w:r>
          </w:p>
          <w:p w:rsidR="009724C7" w:rsidRPr="00F50815" w:rsidRDefault="009724C7" w:rsidP="001B1B43">
            <w:pPr>
              <w:pStyle w:val="ListParagraph"/>
              <w:numPr>
                <w:ilvl w:val="0"/>
                <w:numId w:val="44"/>
              </w:numPr>
              <w:rPr>
                <w:rFonts w:cs="Arial"/>
              </w:rPr>
            </w:pPr>
            <w:r w:rsidRPr="00F50815">
              <w:rPr>
                <w:rFonts w:cs="Arial"/>
              </w:rPr>
              <w:t>Consumer Rights and responsibilities.</w:t>
            </w:r>
          </w:p>
          <w:p w:rsidR="009724C7" w:rsidRPr="00F50815" w:rsidRDefault="009724C7" w:rsidP="009724C7">
            <w:pPr>
              <w:pStyle w:val="ListParagraph"/>
              <w:rPr>
                <w:rFonts w:cs="Arial"/>
              </w:rPr>
            </w:pPr>
          </w:p>
        </w:tc>
        <w:tc>
          <w:tcPr>
            <w:tcW w:w="636" w:type="dxa"/>
            <w:gridSpan w:val="2"/>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9724C7">
            <w:pPr>
              <w:rPr>
                <w:rFonts w:cs="Arial"/>
              </w:rPr>
            </w:pPr>
            <w:r w:rsidRPr="00F50815">
              <w:rPr>
                <w:rFonts w:cs="Arial"/>
              </w:rPr>
              <w:lastRenderedPageBreak/>
              <w:t>2.1</w:t>
            </w:r>
          </w:p>
        </w:tc>
        <w:tc>
          <w:tcPr>
            <w:tcW w:w="4051" w:type="dxa"/>
            <w:gridSpan w:val="3"/>
            <w:tcBorders>
              <w:top w:val="single" w:sz="12" w:space="0" w:color="17365D" w:themeColor="text2" w:themeShade="BF"/>
              <w:bottom w:val="single" w:sz="12" w:space="0" w:color="17365D" w:themeColor="text2" w:themeShade="BF"/>
            </w:tcBorders>
          </w:tcPr>
          <w:p w:rsidR="009724C7" w:rsidRPr="00F50815" w:rsidRDefault="009724C7" w:rsidP="009724C7">
            <w:pPr>
              <w:rPr>
                <w:rFonts w:cs="Arial"/>
              </w:rPr>
            </w:pPr>
            <w:r w:rsidRPr="00F50815">
              <w:rPr>
                <w:rFonts w:cs="Arial"/>
              </w:rPr>
              <w:t>No later than five (5) workdays from receipt of referral or date of request for service the following shall be complete:</w:t>
            </w:r>
          </w:p>
          <w:p w:rsidR="009724C7" w:rsidRPr="00F50815" w:rsidRDefault="009724C7" w:rsidP="001B1B43">
            <w:pPr>
              <w:pStyle w:val="ListParagraph"/>
              <w:numPr>
                <w:ilvl w:val="0"/>
                <w:numId w:val="45"/>
              </w:numPr>
              <w:rPr>
                <w:rFonts w:cs="Arial"/>
              </w:rPr>
            </w:pPr>
            <w:r w:rsidRPr="00F50815">
              <w:rPr>
                <w:rFonts w:cs="Arial"/>
              </w:rPr>
              <w:lastRenderedPageBreak/>
              <w:t>Client chart/record face sheet;</w:t>
            </w:r>
          </w:p>
          <w:p w:rsidR="009724C7" w:rsidRPr="00F50815" w:rsidRDefault="009724C7" w:rsidP="001B1B43">
            <w:pPr>
              <w:pStyle w:val="ListParagraph"/>
              <w:numPr>
                <w:ilvl w:val="0"/>
                <w:numId w:val="45"/>
              </w:numPr>
              <w:rPr>
                <w:rFonts w:cs="Arial"/>
              </w:rPr>
            </w:pPr>
            <w:r w:rsidRPr="00F50815">
              <w:rPr>
                <w:rFonts w:cs="Arial"/>
              </w:rPr>
              <w:t>Consent to release and exchange information.</w:t>
            </w:r>
          </w:p>
        </w:tc>
      </w:tr>
      <w:tr w:rsidR="009724C7" w:rsidRPr="009724C7" w:rsidTr="00271BEE">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9724C7" w:rsidRPr="00F50815" w:rsidRDefault="009724C7" w:rsidP="009724C7">
            <w:pPr>
              <w:rPr>
                <w:rFonts w:cs="Arial"/>
              </w:rPr>
            </w:pPr>
            <w:r w:rsidRPr="00F50815">
              <w:rPr>
                <w:rFonts w:cs="Arial"/>
              </w:rPr>
              <w:lastRenderedPageBreak/>
              <w:t>2.2</w:t>
            </w:r>
          </w:p>
        </w:tc>
        <w:tc>
          <w:tcPr>
            <w:tcW w:w="4158" w:type="dxa"/>
            <w:gridSpan w:val="2"/>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271BEE">
            <w:pPr>
              <w:spacing w:after="200"/>
              <w:ind w:left="360"/>
              <w:rPr>
                <w:rFonts w:cs="Arial"/>
              </w:rPr>
            </w:pPr>
            <w:r w:rsidRPr="00F50815">
              <w:rPr>
                <w:rFonts w:cs="Arial"/>
              </w:rPr>
              <w:t>As part of the eligibility and financial assessment, residency and income shall be verified.</w:t>
            </w:r>
          </w:p>
        </w:tc>
        <w:tc>
          <w:tcPr>
            <w:tcW w:w="702" w:type="dxa"/>
            <w:gridSpan w:val="2"/>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271BEE">
            <w:pPr>
              <w:rPr>
                <w:rFonts w:cs="Arial"/>
              </w:rPr>
            </w:pPr>
            <w:r w:rsidRPr="00F50815">
              <w:rPr>
                <w:rFonts w:cs="Arial"/>
              </w:rPr>
              <w:t>2.2</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271BEE">
            <w:pPr>
              <w:rPr>
                <w:rFonts w:cs="Arial"/>
              </w:rPr>
            </w:pPr>
            <w:r w:rsidRPr="00F50815">
              <w:rPr>
                <w:rFonts w:cs="Arial"/>
              </w:rPr>
              <w:t>Documentation of residency and income shall be maintained in the consumer record.</w:t>
            </w:r>
          </w:p>
        </w:tc>
      </w:tr>
      <w:tr w:rsidR="009724C7" w:rsidRPr="009724C7" w:rsidTr="00271BEE">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9724C7" w:rsidRPr="00F50815" w:rsidRDefault="009724C7" w:rsidP="009724C7">
            <w:pPr>
              <w:rPr>
                <w:rFonts w:cs="Arial"/>
              </w:rPr>
            </w:pPr>
            <w:r w:rsidRPr="00F50815">
              <w:rPr>
                <w:rFonts w:cs="Arial"/>
              </w:rPr>
              <w:t>2.3</w:t>
            </w:r>
          </w:p>
        </w:tc>
        <w:tc>
          <w:tcPr>
            <w:tcW w:w="4158" w:type="dxa"/>
            <w:gridSpan w:val="2"/>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F50815" w:rsidRDefault="009724C7" w:rsidP="00271BEE">
            <w:pPr>
              <w:spacing w:after="200"/>
              <w:ind w:left="360"/>
              <w:rPr>
                <w:rFonts w:cs="Arial"/>
              </w:rPr>
            </w:pPr>
            <w:r w:rsidRPr="00F50815">
              <w:rPr>
                <w:rFonts w:cs="Arial"/>
              </w:rPr>
              <w:t>Consumers shall be screened for other funding sources.</w:t>
            </w:r>
          </w:p>
        </w:tc>
        <w:tc>
          <w:tcPr>
            <w:tcW w:w="702" w:type="dxa"/>
            <w:gridSpan w:val="2"/>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F50815" w:rsidRDefault="009724C7" w:rsidP="00271BEE">
            <w:pPr>
              <w:rPr>
                <w:rFonts w:cs="Arial"/>
              </w:rPr>
            </w:pPr>
            <w:r w:rsidRPr="00F50815">
              <w:rPr>
                <w:rFonts w:cs="Arial"/>
              </w:rPr>
              <w:t>2.3</w:t>
            </w:r>
          </w:p>
        </w:tc>
        <w:tc>
          <w:tcPr>
            <w:tcW w:w="3960" w:type="dxa"/>
            <w:tcBorders>
              <w:top w:val="single" w:sz="12" w:space="0" w:color="17365D" w:themeColor="text2" w:themeShade="BF"/>
              <w:bottom w:val="single" w:sz="12" w:space="0" w:color="17365D" w:themeColor="text2" w:themeShade="BF"/>
            </w:tcBorders>
          </w:tcPr>
          <w:p w:rsidR="009724C7" w:rsidRPr="00F50815" w:rsidRDefault="009724C7" w:rsidP="00271BEE">
            <w:pPr>
              <w:rPr>
                <w:rFonts w:cs="Arial"/>
              </w:rPr>
            </w:pPr>
            <w:r w:rsidRPr="00F50815">
              <w:rPr>
                <w:rFonts w:cs="Arial"/>
              </w:rPr>
              <w:t>Documentation to indicate that the services provided were not an allowable service under another funding source.</w:t>
            </w:r>
          </w:p>
          <w:p w:rsidR="00BF740C" w:rsidRPr="00F50815" w:rsidRDefault="00BF740C" w:rsidP="00271BEE">
            <w:pPr>
              <w:rPr>
                <w:rFonts w:cs="Arial"/>
              </w:rPr>
            </w:pPr>
          </w:p>
        </w:tc>
      </w:tr>
    </w:tbl>
    <w:p w:rsidR="009724C7" w:rsidRDefault="009724C7" w:rsidP="009724C7">
      <w:pPr>
        <w:spacing w:after="0" w:line="240" w:lineRule="auto"/>
        <w:jc w:val="both"/>
        <w:rPr>
          <w:rFonts w:ascii="Arial" w:hAnsi="Arial" w:cs="Arial"/>
          <w:sz w:val="24"/>
        </w:rPr>
      </w:pPr>
    </w:p>
    <w:tbl>
      <w:tblPr>
        <w:tblStyle w:val="TableGrid7"/>
        <w:tblW w:w="0" w:type="auto"/>
        <w:tblLook w:val="04A0" w:firstRow="1" w:lastRow="0" w:firstColumn="1" w:lastColumn="0" w:noHBand="0" w:noVBand="1"/>
      </w:tblPr>
      <w:tblGrid>
        <w:gridCol w:w="9576"/>
      </w:tblGrid>
      <w:tr w:rsidR="00BF740C" w:rsidRPr="00DE4D08" w:rsidTr="00304877">
        <w:tc>
          <w:tcPr>
            <w:tcW w:w="9576" w:type="dxa"/>
            <w:tcBorders>
              <w:top w:val="single" w:sz="12" w:space="0" w:color="17365D" w:themeColor="text2" w:themeShade="BF"/>
              <w:left w:val="nil"/>
              <w:bottom w:val="single" w:sz="12" w:space="0" w:color="17365D" w:themeColor="text2" w:themeShade="BF"/>
              <w:right w:val="nil"/>
            </w:tcBorders>
          </w:tcPr>
          <w:p w:rsidR="00BF740C" w:rsidRPr="00DE4D08" w:rsidRDefault="00BF740C" w:rsidP="00304877">
            <w:pPr>
              <w:pStyle w:val="Heading3"/>
              <w:spacing w:before="0"/>
              <w:outlineLvl w:val="2"/>
            </w:pPr>
            <w:bookmarkStart w:id="35" w:name="_Toc489280880"/>
            <w:r w:rsidRPr="00BF740C">
              <w:rPr>
                <w:sz w:val="28"/>
              </w:rPr>
              <w:t>3.0 Consumer Assessment and Care Plan</w:t>
            </w:r>
            <w:bookmarkEnd w:id="35"/>
          </w:p>
        </w:tc>
      </w:tr>
    </w:tbl>
    <w:p w:rsidR="009724C7" w:rsidRDefault="009724C7" w:rsidP="009724C7">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0D60AF" w:rsidTr="000D60AF">
        <w:tc>
          <w:tcPr>
            <w:tcW w:w="9576" w:type="dxa"/>
            <w:tcBorders>
              <w:top w:val="nil"/>
              <w:left w:val="nil"/>
              <w:bottom w:val="nil"/>
              <w:right w:val="nil"/>
            </w:tcBorders>
          </w:tcPr>
          <w:p w:rsidR="000D60AF" w:rsidRDefault="000D60AF" w:rsidP="000D60AF">
            <w:pPr>
              <w:rPr>
                <w:rFonts w:cs="Arial"/>
              </w:rPr>
            </w:pPr>
            <w:r w:rsidRPr="009724C7">
              <w:rPr>
                <w:rFonts w:cs="Arial"/>
              </w:rPr>
              <w:t>EIS Coordinators shall complete an Acuity assessment of each consumer to determine their level of need. The assessment shall be documented in Provide Enterprise. A care plan shall be developed, in collaboration with the client that specifies the process of linking the consumer to care.</w:t>
            </w:r>
          </w:p>
        </w:tc>
      </w:tr>
    </w:tbl>
    <w:p w:rsidR="009724C7" w:rsidRPr="009724C7" w:rsidRDefault="009724C7" w:rsidP="009724C7">
      <w:pPr>
        <w:spacing w:after="0" w:line="240" w:lineRule="auto"/>
        <w:jc w:val="both"/>
        <w:rPr>
          <w:rFonts w:ascii="Arial" w:hAnsi="Arial" w:cs="Arial"/>
          <w:sz w:val="24"/>
          <w:szCs w:val="20"/>
        </w:rPr>
      </w:pPr>
    </w:p>
    <w:tbl>
      <w:tblPr>
        <w:tblStyle w:val="TableGrid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9724C7" w:rsidRPr="009724C7" w:rsidTr="00BF740C">
        <w:tc>
          <w:tcPr>
            <w:tcW w:w="9558" w:type="dxa"/>
            <w:gridSpan w:val="4"/>
            <w:shd w:val="clear" w:color="auto" w:fill="17365D" w:themeFill="text2" w:themeFillShade="BF"/>
          </w:tcPr>
          <w:p w:rsidR="009724C7" w:rsidRPr="009724C7" w:rsidRDefault="009724C7" w:rsidP="008E7A5D">
            <w:pPr>
              <w:pStyle w:val="Heading4"/>
              <w:spacing w:before="0"/>
              <w:outlineLvl w:val="3"/>
            </w:pPr>
            <w:r w:rsidRPr="00BF740C">
              <w:rPr>
                <w:color w:val="FFFFFF" w:themeColor="background1"/>
                <w:sz w:val="28"/>
              </w:rPr>
              <w:t>3.0 Consumer Assessment and Care Plan</w:t>
            </w:r>
          </w:p>
        </w:tc>
      </w:tr>
      <w:tr w:rsidR="00BF740C" w:rsidRPr="009724C7" w:rsidTr="00BF740C">
        <w:tc>
          <w:tcPr>
            <w:tcW w:w="4896" w:type="dxa"/>
            <w:gridSpan w:val="2"/>
            <w:vAlign w:val="center"/>
          </w:tcPr>
          <w:p w:rsidR="00BF740C" w:rsidRPr="009724C7" w:rsidRDefault="00BF740C" w:rsidP="009724C7">
            <w:pPr>
              <w:jc w:val="center"/>
              <w:rPr>
                <w:rFonts w:cs="Arial"/>
                <w:b/>
                <w:sz w:val="28"/>
              </w:rPr>
            </w:pPr>
          </w:p>
        </w:tc>
        <w:tc>
          <w:tcPr>
            <w:tcW w:w="4662" w:type="dxa"/>
            <w:gridSpan w:val="2"/>
            <w:vAlign w:val="center"/>
          </w:tcPr>
          <w:p w:rsidR="00BF740C" w:rsidRPr="009724C7" w:rsidRDefault="00BF740C" w:rsidP="009724C7">
            <w:pPr>
              <w:jc w:val="center"/>
              <w:rPr>
                <w:rFonts w:cs="Arial"/>
                <w:b/>
                <w:sz w:val="28"/>
              </w:rPr>
            </w:pPr>
          </w:p>
        </w:tc>
      </w:tr>
      <w:tr w:rsidR="009724C7" w:rsidRPr="009724C7" w:rsidTr="00BF740C">
        <w:tc>
          <w:tcPr>
            <w:tcW w:w="4896" w:type="dxa"/>
            <w:gridSpan w:val="2"/>
            <w:tcBorders>
              <w:bottom w:val="single" w:sz="12" w:space="0" w:color="17365D" w:themeColor="text2" w:themeShade="BF"/>
              <w:right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Measures</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An individual care plan shall be developed with the participation of the consumer within 30-days of intake. The care plan shall be based on prioritized identified needs, acuity level, and shall address consumer’s cultural needs.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3.1</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Care Plan documented in PE.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3.2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6E7960" w:rsidRDefault="009724C7" w:rsidP="00457B6E">
            <w:pPr>
              <w:spacing w:after="200"/>
              <w:rPr>
                <w:rFonts w:cs="Arial"/>
              </w:rPr>
            </w:pPr>
            <w:r w:rsidRPr="006E7960">
              <w:rPr>
                <w:rFonts w:cs="Arial"/>
              </w:rPr>
              <w:t>A care plan shall be developed that includes:</w:t>
            </w:r>
          </w:p>
          <w:p w:rsidR="009724C7" w:rsidRPr="006E7960" w:rsidRDefault="009724C7" w:rsidP="001B1B43">
            <w:pPr>
              <w:pStyle w:val="ListParagraph"/>
              <w:numPr>
                <w:ilvl w:val="0"/>
                <w:numId w:val="47"/>
              </w:numPr>
              <w:rPr>
                <w:rFonts w:cs="Arial"/>
              </w:rPr>
            </w:pPr>
            <w:r w:rsidRPr="006E7960">
              <w:rPr>
                <w:rFonts w:cs="Arial"/>
              </w:rPr>
              <w:t>Goals and objectives specific to the process of linking consumers to care;</w:t>
            </w:r>
          </w:p>
          <w:p w:rsidR="009724C7" w:rsidRPr="006E7960" w:rsidRDefault="009724C7" w:rsidP="001B1B43">
            <w:pPr>
              <w:pStyle w:val="ListParagraph"/>
              <w:numPr>
                <w:ilvl w:val="0"/>
                <w:numId w:val="46"/>
              </w:numPr>
              <w:rPr>
                <w:rFonts w:cs="Arial"/>
              </w:rPr>
            </w:pPr>
            <w:r w:rsidRPr="006E7960">
              <w:rPr>
                <w:rFonts w:cs="Arial"/>
              </w:rPr>
              <w:t xml:space="preserve">Identification of a responsible party for each goal and objective; </w:t>
            </w:r>
          </w:p>
          <w:p w:rsidR="009724C7" w:rsidRPr="006E7960" w:rsidRDefault="009724C7" w:rsidP="001B1B43">
            <w:pPr>
              <w:pStyle w:val="ListParagraph"/>
              <w:numPr>
                <w:ilvl w:val="0"/>
                <w:numId w:val="46"/>
              </w:numPr>
              <w:rPr>
                <w:rFonts w:cs="Arial"/>
              </w:rPr>
            </w:pPr>
            <w:r w:rsidRPr="006E7960">
              <w:rPr>
                <w:rFonts w:cs="Arial"/>
              </w:rPr>
              <w:lastRenderedPageBreak/>
              <w:t>A timeframe for the monitoring and assessment of consumers progress; and,</w:t>
            </w:r>
          </w:p>
          <w:p w:rsidR="009724C7" w:rsidRPr="006E7960" w:rsidRDefault="009724C7" w:rsidP="001B1B43">
            <w:pPr>
              <w:pStyle w:val="ListParagraph"/>
              <w:numPr>
                <w:ilvl w:val="0"/>
                <w:numId w:val="46"/>
              </w:numPr>
              <w:rPr>
                <w:rFonts w:cs="Arial"/>
              </w:rPr>
            </w:pPr>
            <w:r w:rsidRPr="006E7960">
              <w:rPr>
                <w:rFonts w:cs="Arial"/>
              </w:rPr>
              <w:t>The signature of the individual providing the service and/or the supervisor.</w:t>
            </w:r>
          </w:p>
          <w:p w:rsidR="00BF740C" w:rsidRPr="006E7960" w:rsidRDefault="00BF740C" w:rsidP="00457B6E">
            <w:pPr>
              <w:pStyle w:val="ListParagraph"/>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lastRenderedPageBreak/>
              <w:t>3.2</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Care plan with all required elements documented in PE.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lastRenderedPageBreak/>
              <w:t>3.3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ascii="Times New Roman" w:eastAsiaTheme="minorHAnsi" w:hAnsi="Times New Roman" w:cs="Arial"/>
                <w:szCs w:val="22"/>
              </w:rPr>
            </w:pPr>
            <w:r w:rsidRPr="006E7960">
              <w:t>Each consumer shall be assisted in developing time frames for the resolution of any barriers to care identified in the assessment</w:t>
            </w:r>
            <w:r w:rsidRPr="006E7960">
              <w:rPr>
                <w:rFonts w:cs="Arial"/>
              </w:rPr>
              <w:t>.</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3.3</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Barriers to care and follow-up services documented in PE as needed but at least monthly.</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3.4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Each consumer shall be assisted with establishing expected outcomes within the Care Plan.</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3.4</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Progress note entries in PE shall document the assistance provided.</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3.5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EIS coordinators shall coordinate referrals and track linkages and outcomes of consumers to medical, services, case management, KPOE, partner services and prevention to support access to and retention in care.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3.5</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Documentation of referrals in PE.</w:t>
            </w:r>
          </w:p>
        </w:tc>
      </w:tr>
    </w:tbl>
    <w:p w:rsidR="009724C7" w:rsidRDefault="009724C7" w:rsidP="009724C7">
      <w:pPr>
        <w:spacing w:after="0" w:line="240" w:lineRule="auto"/>
        <w:jc w:val="both"/>
        <w:rPr>
          <w:rFonts w:ascii="Arial" w:hAnsi="Arial" w:cs="Arial"/>
          <w:sz w:val="24"/>
        </w:rPr>
      </w:pPr>
    </w:p>
    <w:tbl>
      <w:tblPr>
        <w:tblStyle w:val="TableGrid7"/>
        <w:tblW w:w="0" w:type="auto"/>
        <w:tblLook w:val="04A0" w:firstRow="1" w:lastRow="0" w:firstColumn="1" w:lastColumn="0" w:noHBand="0" w:noVBand="1"/>
      </w:tblPr>
      <w:tblGrid>
        <w:gridCol w:w="9576"/>
      </w:tblGrid>
      <w:tr w:rsidR="00BF740C" w:rsidRPr="00DE4D08" w:rsidTr="00304877">
        <w:tc>
          <w:tcPr>
            <w:tcW w:w="9576" w:type="dxa"/>
            <w:tcBorders>
              <w:top w:val="single" w:sz="12" w:space="0" w:color="17365D" w:themeColor="text2" w:themeShade="BF"/>
              <w:left w:val="nil"/>
              <w:bottom w:val="single" w:sz="12" w:space="0" w:color="17365D" w:themeColor="text2" w:themeShade="BF"/>
              <w:right w:val="nil"/>
            </w:tcBorders>
          </w:tcPr>
          <w:p w:rsidR="00BF740C" w:rsidRPr="00DE4D08" w:rsidRDefault="00BF740C" w:rsidP="00304877">
            <w:pPr>
              <w:pStyle w:val="Heading3"/>
              <w:spacing w:before="0"/>
              <w:outlineLvl w:val="2"/>
            </w:pPr>
            <w:bookmarkStart w:id="36" w:name="_Toc489280881"/>
            <w:r w:rsidRPr="00BF740C">
              <w:rPr>
                <w:sz w:val="28"/>
              </w:rPr>
              <w:t>4.0 Documentation</w:t>
            </w:r>
            <w:bookmarkEnd w:id="36"/>
          </w:p>
        </w:tc>
      </w:tr>
    </w:tbl>
    <w:p w:rsidR="009724C7" w:rsidRPr="009724C7" w:rsidRDefault="009724C7" w:rsidP="009724C7">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5C100E" w:rsidTr="005C100E">
        <w:tc>
          <w:tcPr>
            <w:tcW w:w="9576" w:type="dxa"/>
            <w:tcBorders>
              <w:top w:val="nil"/>
              <w:left w:val="nil"/>
              <w:bottom w:val="nil"/>
              <w:right w:val="nil"/>
            </w:tcBorders>
          </w:tcPr>
          <w:p w:rsidR="005C100E" w:rsidRDefault="005C100E" w:rsidP="005C100E">
            <w:pPr>
              <w:rPr>
                <w:rFonts w:cs="Arial"/>
                <w:color w:val="000000"/>
                <w:szCs w:val="24"/>
              </w:rPr>
            </w:pPr>
            <w:r w:rsidRPr="009724C7">
              <w:rPr>
                <w:rFonts w:cs="Arial"/>
                <w:color w:val="000000"/>
                <w:szCs w:val="24"/>
              </w:rPr>
              <w:t>All EIS providers are required to maintain accurate documentation in order to submit data on EIS activities in the Ryan White Part A Reporting System (Provide Enterprise). The submission requirements are detailed within the contract.</w:t>
            </w:r>
          </w:p>
        </w:tc>
      </w:tr>
    </w:tbl>
    <w:p w:rsidR="009724C7" w:rsidRPr="009724C7" w:rsidRDefault="009724C7" w:rsidP="00BF740C">
      <w:pPr>
        <w:pStyle w:val="Heading4"/>
        <w:spacing w:before="0"/>
      </w:pPr>
    </w:p>
    <w:tbl>
      <w:tblPr>
        <w:tblStyle w:val="TableGrid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9724C7" w:rsidRPr="009724C7" w:rsidTr="00BF740C">
        <w:tc>
          <w:tcPr>
            <w:tcW w:w="9558" w:type="dxa"/>
            <w:gridSpan w:val="4"/>
            <w:shd w:val="clear" w:color="auto" w:fill="17365D" w:themeFill="text2" w:themeFillShade="BF"/>
          </w:tcPr>
          <w:p w:rsidR="009724C7" w:rsidRPr="009724C7" w:rsidRDefault="009724C7" w:rsidP="00BF740C">
            <w:pPr>
              <w:pStyle w:val="Heading4"/>
              <w:spacing w:before="0"/>
              <w:outlineLvl w:val="3"/>
              <w:rPr>
                <w:color w:val="FFFFFF" w:themeColor="background1"/>
                <w:sz w:val="28"/>
              </w:rPr>
            </w:pPr>
            <w:r w:rsidRPr="009724C7">
              <w:rPr>
                <w:color w:val="FFFFFF" w:themeColor="background1"/>
                <w:sz w:val="28"/>
              </w:rPr>
              <w:t>4.0 Documentation</w:t>
            </w:r>
          </w:p>
        </w:tc>
      </w:tr>
      <w:tr w:rsidR="00BF740C" w:rsidRPr="009724C7" w:rsidTr="00BF740C">
        <w:tc>
          <w:tcPr>
            <w:tcW w:w="4896" w:type="dxa"/>
            <w:gridSpan w:val="2"/>
            <w:vAlign w:val="center"/>
          </w:tcPr>
          <w:p w:rsidR="00BF740C" w:rsidRPr="009724C7" w:rsidRDefault="00BF740C" w:rsidP="009724C7">
            <w:pPr>
              <w:jc w:val="center"/>
              <w:rPr>
                <w:rFonts w:cs="Arial"/>
                <w:b/>
                <w:sz w:val="28"/>
              </w:rPr>
            </w:pPr>
          </w:p>
        </w:tc>
        <w:tc>
          <w:tcPr>
            <w:tcW w:w="4662" w:type="dxa"/>
            <w:gridSpan w:val="2"/>
            <w:vAlign w:val="center"/>
          </w:tcPr>
          <w:p w:rsidR="00BF740C" w:rsidRPr="009724C7" w:rsidRDefault="00BF740C" w:rsidP="009724C7">
            <w:pPr>
              <w:jc w:val="center"/>
              <w:rPr>
                <w:rFonts w:cs="Arial"/>
                <w:b/>
                <w:sz w:val="28"/>
              </w:rPr>
            </w:pPr>
          </w:p>
        </w:tc>
      </w:tr>
      <w:tr w:rsidR="009724C7" w:rsidRPr="009724C7" w:rsidTr="00BF740C">
        <w:tc>
          <w:tcPr>
            <w:tcW w:w="4896" w:type="dxa"/>
            <w:gridSpan w:val="2"/>
            <w:tcBorders>
              <w:bottom w:val="single" w:sz="12" w:space="0" w:color="17365D" w:themeColor="text2" w:themeShade="BF"/>
              <w:right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Measures</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EIS Coordinators shall be assigned within _three (3) days of a request or documentation of a reactive HIV Rapid Test.</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4.1</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PE shall reflect the name of the assigned Coordinator and date of assignment.</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EIS Coordinators shall obtain documentation of confirmatory test results from PRISM within 15 days of completion of confirmatory test.</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4.2</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PRISM report documenting date shall be uploaded to PE.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 xml:space="preserve"> EIS Coordinators shall obtain Release of Information (ROI) from consumers in order to obtain </w:t>
            </w:r>
            <w:r w:rsidRPr="006E7960">
              <w:rPr>
                <w:rFonts w:cs="Arial"/>
              </w:rPr>
              <w:lastRenderedPageBreak/>
              <w:t xml:space="preserve">documentation of confirmatory test results from the appropriate test sites. </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lastRenderedPageBreak/>
              <w:t>4.3</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 xml:space="preserve">Signed ROI Form and documentation of Test Results uploaded in PE within 15 days of </w:t>
            </w:r>
            <w:r w:rsidRPr="006E7960">
              <w:rPr>
                <w:rFonts w:cs="Arial"/>
              </w:rPr>
              <w:lastRenderedPageBreak/>
              <w:t>confirmatory test.</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lastRenderedPageBreak/>
              <w:t>4.4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Monitor and document consumer’s progress in meeting established goals.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4.3</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A progress note shall be completed on a consumer for each contact in PE.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EIS Coordinators shall document all referrals made on the approved Referral Form and shall include:</w:t>
            </w:r>
          </w:p>
          <w:p w:rsidR="009724C7" w:rsidRPr="006E7960" w:rsidRDefault="009724C7" w:rsidP="001B1B43">
            <w:pPr>
              <w:pStyle w:val="ListParagraph"/>
              <w:numPr>
                <w:ilvl w:val="0"/>
                <w:numId w:val="48"/>
              </w:numPr>
              <w:rPr>
                <w:rFonts w:cs="Arial"/>
              </w:rPr>
            </w:pPr>
            <w:r w:rsidRPr="006E7960">
              <w:rPr>
                <w:rFonts w:cs="Arial"/>
              </w:rPr>
              <w:t>Referrals to outpatient/ambulatory health services, and other core and support services;</w:t>
            </w:r>
          </w:p>
          <w:p w:rsidR="009724C7" w:rsidRPr="006E7960" w:rsidRDefault="009724C7" w:rsidP="001B1B43">
            <w:pPr>
              <w:pStyle w:val="ListParagraph"/>
              <w:numPr>
                <w:ilvl w:val="0"/>
                <w:numId w:val="48"/>
              </w:numPr>
              <w:rPr>
                <w:rFonts w:cs="Arial"/>
              </w:rPr>
            </w:pPr>
            <w:r w:rsidRPr="006E7960">
              <w:rPr>
                <w:rFonts w:cs="Arial"/>
              </w:rPr>
              <w:t>The date the referral was made;</w:t>
            </w:r>
          </w:p>
          <w:p w:rsidR="009724C7" w:rsidRPr="006E7960" w:rsidRDefault="009724C7" w:rsidP="001B1B43">
            <w:pPr>
              <w:pStyle w:val="ListParagraph"/>
              <w:numPr>
                <w:ilvl w:val="0"/>
                <w:numId w:val="48"/>
              </w:numPr>
              <w:rPr>
                <w:rFonts w:cs="Arial"/>
              </w:rPr>
            </w:pPr>
            <w:r w:rsidRPr="006E7960">
              <w:rPr>
                <w:rFonts w:cs="Arial"/>
              </w:rPr>
              <w:t>The consumer’s appointment date; and,</w:t>
            </w:r>
          </w:p>
          <w:p w:rsidR="009724C7" w:rsidRPr="006E7960" w:rsidRDefault="009724C7" w:rsidP="001B1B43">
            <w:pPr>
              <w:pStyle w:val="ListParagraph"/>
              <w:numPr>
                <w:ilvl w:val="0"/>
                <w:numId w:val="48"/>
              </w:numPr>
              <w:rPr>
                <w:rFonts w:cs="Arial"/>
              </w:rPr>
            </w:pPr>
            <w:r w:rsidRPr="006E7960">
              <w:rPr>
                <w:rFonts w:cs="Arial"/>
              </w:rPr>
              <w:t>The documents that were transmitted as part of the referral.</w:t>
            </w:r>
          </w:p>
          <w:p w:rsidR="00BF740C" w:rsidRPr="006E7960" w:rsidRDefault="00BF740C" w:rsidP="00457B6E">
            <w:pPr>
              <w:pStyle w:val="ListParagraph"/>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4.4</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Documentation in PE reflects all required elements.</w:t>
            </w:r>
          </w:p>
          <w:p w:rsidR="00BF740C" w:rsidRPr="006E7960" w:rsidRDefault="00BF740C" w:rsidP="00457B6E">
            <w:pPr>
              <w:rPr>
                <w:rFonts w:cs="Arial"/>
              </w:rPr>
            </w:pP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 xml:space="preserve">4.6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EIS Coordinators shall successfully link newly diagnosed consumers with Outpatient/Ambulatory Health Services and laboratory services within 30-days of enrollment.</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4.5</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Successful linkage documented in PE that reflects the date of linkage.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 xml:space="preserve">EIS Coordinators shall provide support and encouragement to consumers for </w:t>
            </w:r>
            <w:r w:rsidR="00271BEE" w:rsidRPr="006E7960">
              <w:rPr>
                <w:rFonts w:cs="Arial"/>
              </w:rPr>
              <w:t>at least</w:t>
            </w:r>
            <w:r w:rsidRPr="006E7960">
              <w:rPr>
                <w:rFonts w:cs="Arial"/>
              </w:rPr>
              <w:t xml:space="preserve"> six (6) months after enrollment to actively engage them in care and link to case managemen</w:t>
            </w:r>
            <w:r w:rsidR="00BF740C" w:rsidRPr="006E7960">
              <w:rPr>
                <w:rFonts w:cs="Arial"/>
              </w:rPr>
              <w:t>t within this six month period.</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4.6</w:t>
            </w:r>
          </w:p>
        </w:tc>
        <w:tc>
          <w:tcPr>
            <w:tcW w:w="3960" w:type="dxa"/>
            <w:tcBorders>
              <w:top w:val="single" w:sz="12" w:space="0" w:color="17365D" w:themeColor="text2" w:themeShade="BF"/>
              <w:bottom w:val="single" w:sz="12" w:space="0" w:color="17365D" w:themeColor="text2" w:themeShade="BF"/>
            </w:tcBorders>
          </w:tcPr>
          <w:p w:rsidR="009724C7" w:rsidRPr="006E7960" w:rsidRDefault="00271BEE" w:rsidP="00457B6E">
            <w:pPr>
              <w:rPr>
                <w:rFonts w:cs="Arial"/>
              </w:rPr>
            </w:pPr>
            <w:r w:rsidRPr="006E7960">
              <w:rPr>
                <w:rFonts w:cs="Arial"/>
              </w:rPr>
              <w:t>Progress note entries in PE reflect</w:t>
            </w:r>
            <w:r w:rsidR="009724C7" w:rsidRPr="006E7960">
              <w:rPr>
                <w:rFonts w:cs="Arial"/>
              </w:rPr>
              <w:t xml:space="preserve"> support and encouragement.</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EIS coordinators shall successfully re-link consumers returning to care to a case manager within 6 months.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4.7</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Successful linkage documented in PE</w:t>
            </w:r>
          </w:p>
        </w:tc>
      </w:tr>
    </w:tbl>
    <w:p w:rsidR="009724C7" w:rsidRDefault="009724C7" w:rsidP="009724C7">
      <w:pPr>
        <w:spacing w:after="0" w:line="240" w:lineRule="auto"/>
        <w:jc w:val="both"/>
        <w:rPr>
          <w:rFonts w:ascii="Arial" w:hAnsi="Arial" w:cs="Arial"/>
          <w:sz w:val="24"/>
        </w:rPr>
      </w:pPr>
    </w:p>
    <w:tbl>
      <w:tblPr>
        <w:tblStyle w:val="TableGrid7"/>
        <w:tblW w:w="0" w:type="auto"/>
        <w:tblLook w:val="04A0" w:firstRow="1" w:lastRow="0" w:firstColumn="1" w:lastColumn="0" w:noHBand="0" w:noVBand="1"/>
      </w:tblPr>
      <w:tblGrid>
        <w:gridCol w:w="9576"/>
      </w:tblGrid>
      <w:tr w:rsidR="00BF740C" w:rsidRPr="00DE4D08" w:rsidTr="00304877">
        <w:tc>
          <w:tcPr>
            <w:tcW w:w="9576" w:type="dxa"/>
            <w:tcBorders>
              <w:top w:val="single" w:sz="12" w:space="0" w:color="17365D" w:themeColor="text2" w:themeShade="BF"/>
              <w:left w:val="nil"/>
              <w:bottom w:val="single" w:sz="12" w:space="0" w:color="17365D" w:themeColor="text2" w:themeShade="BF"/>
              <w:right w:val="nil"/>
            </w:tcBorders>
          </w:tcPr>
          <w:p w:rsidR="00BF740C" w:rsidRPr="00BF740C" w:rsidRDefault="00BF740C" w:rsidP="00304877">
            <w:pPr>
              <w:pStyle w:val="Heading3"/>
              <w:spacing w:before="0"/>
              <w:outlineLvl w:val="2"/>
            </w:pPr>
            <w:bookmarkStart w:id="37" w:name="_Toc489280882"/>
            <w:r w:rsidRPr="00BF740C">
              <w:rPr>
                <w:rFonts w:cs="Arial"/>
                <w:sz w:val="28"/>
                <w:szCs w:val="28"/>
              </w:rPr>
              <w:t>5.0 Coordination</w:t>
            </w:r>
            <w:bookmarkEnd w:id="37"/>
          </w:p>
        </w:tc>
      </w:tr>
    </w:tbl>
    <w:p w:rsidR="009724C7" w:rsidRPr="009724C7" w:rsidRDefault="009724C7" w:rsidP="009724C7">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5C100E" w:rsidTr="005C100E">
        <w:tc>
          <w:tcPr>
            <w:tcW w:w="9576" w:type="dxa"/>
            <w:tcBorders>
              <w:top w:val="nil"/>
              <w:left w:val="nil"/>
              <w:bottom w:val="nil"/>
              <w:right w:val="nil"/>
            </w:tcBorders>
          </w:tcPr>
          <w:p w:rsidR="005C100E" w:rsidRDefault="005C100E" w:rsidP="009724C7">
            <w:pPr>
              <w:rPr>
                <w:rFonts w:cs="Arial"/>
              </w:rPr>
            </w:pPr>
            <w:r w:rsidRPr="009724C7">
              <w:rPr>
                <w:rFonts w:cs="Arial"/>
              </w:rPr>
              <w:t xml:space="preserve">Coordination includes communication, information sharing, and collaboration, and occurs regularly between EIS Coordinators and other staff serving the patient within the agency and among other agencies in the community. Coordination activities may </w:t>
            </w:r>
            <w:r w:rsidRPr="009724C7">
              <w:rPr>
                <w:rFonts w:cs="Arial"/>
              </w:rPr>
              <w:lastRenderedPageBreak/>
              <w:t>include directly arranging access; reducing barriers to obtaining services; establishing linkages and confirming service acquisition.</w:t>
            </w:r>
          </w:p>
        </w:tc>
      </w:tr>
    </w:tbl>
    <w:p w:rsidR="009724C7" w:rsidRPr="009724C7" w:rsidRDefault="009724C7" w:rsidP="00BF740C">
      <w:pPr>
        <w:pStyle w:val="Heading4"/>
        <w:spacing w:before="0"/>
      </w:pPr>
    </w:p>
    <w:tbl>
      <w:tblPr>
        <w:tblStyle w:val="TableGrid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9724C7" w:rsidRPr="009724C7" w:rsidTr="00BF740C">
        <w:tc>
          <w:tcPr>
            <w:tcW w:w="9558" w:type="dxa"/>
            <w:gridSpan w:val="4"/>
            <w:shd w:val="clear" w:color="auto" w:fill="17365D" w:themeFill="text2" w:themeFillShade="BF"/>
          </w:tcPr>
          <w:p w:rsidR="009724C7" w:rsidRPr="009724C7" w:rsidRDefault="009724C7" w:rsidP="00BF740C">
            <w:pPr>
              <w:pStyle w:val="Heading4"/>
              <w:spacing w:before="0"/>
              <w:outlineLvl w:val="3"/>
              <w:rPr>
                <w:color w:val="FFFFFF" w:themeColor="background1"/>
                <w:sz w:val="28"/>
              </w:rPr>
            </w:pPr>
            <w:r w:rsidRPr="009724C7">
              <w:rPr>
                <w:color w:val="FFFFFF" w:themeColor="background1"/>
                <w:sz w:val="28"/>
              </w:rPr>
              <w:t>5.0 Coordination</w:t>
            </w:r>
          </w:p>
        </w:tc>
      </w:tr>
      <w:tr w:rsidR="00BF740C" w:rsidRPr="009724C7" w:rsidTr="00BF740C">
        <w:tc>
          <w:tcPr>
            <w:tcW w:w="4896" w:type="dxa"/>
            <w:gridSpan w:val="2"/>
            <w:vAlign w:val="center"/>
          </w:tcPr>
          <w:p w:rsidR="00BF740C" w:rsidRPr="009724C7" w:rsidRDefault="00BF740C" w:rsidP="009724C7">
            <w:pPr>
              <w:jc w:val="center"/>
              <w:rPr>
                <w:rFonts w:cs="Arial"/>
                <w:b/>
                <w:sz w:val="28"/>
              </w:rPr>
            </w:pPr>
          </w:p>
        </w:tc>
        <w:tc>
          <w:tcPr>
            <w:tcW w:w="4662" w:type="dxa"/>
            <w:gridSpan w:val="2"/>
            <w:vAlign w:val="center"/>
          </w:tcPr>
          <w:p w:rsidR="00BF740C" w:rsidRPr="009724C7" w:rsidRDefault="00BF740C" w:rsidP="009724C7">
            <w:pPr>
              <w:jc w:val="center"/>
              <w:rPr>
                <w:rFonts w:cs="Arial"/>
                <w:b/>
                <w:sz w:val="28"/>
              </w:rPr>
            </w:pPr>
          </w:p>
        </w:tc>
      </w:tr>
      <w:tr w:rsidR="009724C7" w:rsidRPr="009724C7" w:rsidTr="00BF740C">
        <w:tc>
          <w:tcPr>
            <w:tcW w:w="4896" w:type="dxa"/>
            <w:gridSpan w:val="2"/>
            <w:tcBorders>
              <w:bottom w:val="single" w:sz="12" w:space="0" w:color="17365D" w:themeColor="text2" w:themeShade="BF"/>
              <w:right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Measures</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5.1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autoSpaceDE w:val="0"/>
              <w:autoSpaceDN w:val="0"/>
              <w:adjustRightInd w:val="0"/>
              <w:rPr>
                <w:rFonts w:cs="Arial"/>
              </w:rPr>
            </w:pPr>
            <w:r w:rsidRPr="006E7960">
              <w:rPr>
                <w:rFonts w:cs="Arial"/>
              </w:rPr>
              <w:t xml:space="preserve">EIS Coordinators shall actively participate in team meetings or case conferences for the consumers in order to improve assessment and to sustain retention in </w:t>
            </w:r>
            <w:r w:rsidRPr="006E7960">
              <w:rPr>
                <w:rFonts w:eastAsiaTheme="minorHAnsi" w:cs="Arial"/>
                <w:szCs w:val="22"/>
              </w:rPr>
              <w:t>care.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5.1</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Documentation in PE shall include:</w:t>
            </w:r>
          </w:p>
          <w:p w:rsidR="009724C7" w:rsidRPr="006E7960" w:rsidRDefault="00271BEE" w:rsidP="001B1B43">
            <w:pPr>
              <w:pStyle w:val="ListParagraph"/>
              <w:numPr>
                <w:ilvl w:val="0"/>
                <w:numId w:val="92"/>
              </w:numPr>
              <w:rPr>
                <w:rFonts w:cs="Arial"/>
              </w:rPr>
            </w:pPr>
            <w:r w:rsidRPr="006E7960">
              <w:rPr>
                <w:rFonts w:cs="Arial"/>
              </w:rPr>
              <w:t>The date of the case conference/meeting;</w:t>
            </w:r>
          </w:p>
          <w:p w:rsidR="009724C7" w:rsidRPr="006E7960" w:rsidRDefault="00271BEE" w:rsidP="001B1B43">
            <w:pPr>
              <w:pStyle w:val="ListParagraph"/>
              <w:numPr>
                <w:ilvl w:val="0"/>
                <w:numId w:val="92"/>
              </w:numPr>
              <w:rPr>
                <w:rFonts w:cs="Arial"/>
              </w:rPr>
            </w:pPr>
            <w:r w:rsidRPr="006E7960">
              <w:rPr>
                <w:rFonts w:cs="Arial"/>
              </w:rPr>
              <w:t xml:space="preserve">Names and </w:t>
            </w:r>
            <w:r w:rsidR="009724C7" w:rsidRPr="006E7960">
              <w:rPr>
                <w:rFonts w:cs="Arial"/>
              </w:rPr>
              <w:t>titles of participants;</w:t>
            </w:r>
          </w:p>
          <w:p w:rsidR="009724C7" w:rsidRPr="006E7960" w:rsidRDefault="00271BEE" w:rsidP="001B1B43">
            <w:pPr>
              <w:pStyle w:val="ListParagraph"/>
              <w:numPr>
                <w:ilvl w:val="0"/>
                <w:numId w:val="92"/>
              </w:numPr>
              <w:rPr>
                <w:rFonts w:cs="Arial"/>
              </w:rPr>
            </w:pPr>
            <w:r w:rsidRPr="006E7960">
              <w:rPr>
                <w:rFonts w:cs="Arial"/>
              </w:rPr>
              <w:t>Issues and concerns; and/or,</w:t>
            </w:r>
          </w:p>
          <w:p w:rsidR="009724C7" w:rsidRPr="006E7960" w:rsidRDefault="00271BEE" w:rsidP="001B1B43">
            <w:pPr>
              <w:pStyle w:val="ListParagraph"/>
              <w:numPr>
                <w:ilvl w:val="0"/>
                <w:numId w:val="92"/>
              </w:numPr>
              <w:rPr>
                <w:rFonts w:cs="Arial"/>
              </w:rPr>
            </w:pPr>
            <w:r w:rsidRPr="006E7960">
              <w:rPr>
                <w:rFonts w:cs="Arial"/>
              </w:rPr>
              <w:t>Follow-up plans</w:t>
            </w:r>
            <w:r w:rsidR="009724C7" w:rsidRPr="006E7960">
              <w:rPr>
                <w:rFonts w:cs="Arial"/>
              </w:rPr>
              <w:t>.</w:t>
            </w:r>
          </w:p>
          <w:p w:rsidR="00BF740C" w:rsidRPr="006E7960" w:rsidRDefault="00BF740C" w:rsidP="00457B6E">
            <w:pPr>
              <w:pStyle w:val="ListParagraph"/>
              <w:rPr>
                <w:rFonts w:cs="Arial"/>
              </w:rPr>
            </w:pP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5.2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BF740C" w:rsidRPr="006E7960" w:rsidRDefault="009724C7" w:rsidP="00457B6E">
            <w:pPr>
              <w:spacing w:after="200"/>
              <w:rPr>
                <w:rFonts w:cs="Arial"/>
              </w:rPr>
            </w:pPr>
            <w:r w:rsidRPr="006E7960">
              <w:rPr>
                <w:rFonts w:cs="Arial"/>
              </w:rPr>
              <w:t>Assist and reinforce consumer compliance with their respective Treatment Plans as a basis for promoting the practice of health behaviors.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7B4017" w:rsidP="00457B6E">
            <w:pPr>
              <w:rPr>
                <w:rFonts w:cs="Arial"/>
              </w:rPr>
            </w:pPr>
            <w:r>
              <w:rPr>
                <w:rFonts w:cs="Arial"/>
              </w:rPr>
              <w:t>5</w:t>
            </w:r>
            <w:r w:rsidR="009724C7" w:rsidRPr="006E7960">
              <w:rPr>
                <w:rFonts w:cs="Arial"/>
              </w:rPr>
              <w:t>.2</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Documentation in PE reflects reinforcement of respective treatment plans.</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5.3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Complement rather than replace the roles of other healthcare and service professionals.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5.3</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Progress note entries in PE shall reflect reinforcement of other service professional roles.</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5.4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EIS Coordinators shall coordinate and approve transportation services for eligible consumers. Transportation services shall include bus passes and door-to-door services.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5.4</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Tracking and accounting of all transportation services shall be documented in PE.</w:t>
            </w:r>
          </w:p>
        </w:tc>
      </w:tr>
      <w:tr w:rsidR="009724C7" w:rsidRPr="009724C7" w:rsidTr="00271BEE">
        <w:tc>
          <w:tcPr>
            <w:tcW w:w="738"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5.5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6E7960" w:rsidRDefault="009724C7" w:rsidP="00457B6E">
            <w:pPr>
              <w:spacing w:after="200"/>
              <w:rPr>
                <w:rFonts w:cs="Arial"/>
              </w:rPr>
            </w:pPr>
            <w:r w:rsidRPr="006E7960">
              <w:rPr>
                <w:rFonts w:cs="Arial"/>
              </w:rPr>
              <w:t>EIS Coordinators shall coordinate and approve all initial and follow-up oral health appointments for eligible consumers. This includes:</w:t>
            </w:r>
          </w:p>
          <w:p w:rsidR="009724C7" w:rsidRPr="00457B6E" w:rsidRDefault="009724C7" w:rsidP="001B1B43">
            <w:pPr>
              <w:pStyle w:val="ListParagraph"/>
              <w:numPr>
                <w:ilvl w:val="0"/>
                <w:numId w:val="99"/>
              </w:numPr>
              <w:rPr>
                <w:rFonts w:cs="Arial"/>
              </w:rPr>
            </w:pPr>
            <w:r w:rsidRPr="00457B6E">
              <w:rPr>
                <w:rFonts w:cs="Arial"/>
              </w:rPr>
              <w:t>Scheduling appointments;</w:t>
            </w:r>
          </w:p>
          <w:p w:rsidR="009724C7" w:rsidRPr="00457B6E" w:rsidRDefault="009724C7" w:rsidP="001B1B43">
            <w:pPr>
              <w:pStyle w:val="ListParagraph"/>
              <w:numPr>
                <w:ilvl w:val="0"/>
                <w:numId w:val="99"/>
              </w:numPr>
              <w:rPr>
                <w:rFonts w:cs="Arial"/>
              </w:rPr>
            </w:pPr>
            <w:r w:rsidRPr="00457B6E">
              <w:rPr>
                <w:rFonts w:cs="Arial"/>
              </w:rPr>
              <w:t>Providing all necessary authorization forms to dental providers; and,</w:t>
            </w:r>
          </w:p>
          <w:p w:rsidR="009724C7" w:rsidRPr="00457B6E" w:rsidRDefault="009724C7" w:rsidP="001B1B43">
            <w:pPr>
              <w:pStyle w:val="ListParagraph"/>
              <w:numPr>
                <w:ilvl w:val="0"/>
                <w:numId w:val="99"/>
              </w:numPr>
              <w:rPr>
                <w:rFonts w:cs="Arial"/>
              </w:rPr>
            </w:pPr>
            <w:r w:rsidRPr="00457B6E">
              <w:rPr>
                <w:rFonts w:cs="Arial"/>
              </w:rPr>
              <w:t>Providing timely and appropriate follow-up with consumers and dental providers.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5.5</w:t>
            </w:r>
          </w:p>
        </w:tc>
        <w:tc>
          <w:tcPr>
            <w:tcW w:w="3960" w:type="dxa"/>
            <w:tcBorders>
              <w:top w:val="single" w:sz="12" w:space="0" w:color="17365D" w:themeColor="text2" w:themeShade="BF"/>
              <w:bottom w:val="single" w:sz="12" w:space="0" w:color="17365D" w:themeColor="text2" w:themeShade="BF"/>
            </w:tcBorders>
          </w:tcPr>
          <w:p w:rsidR="009724C7" w:rsidRPr="006E7960" w:rsidRDefault="009724C7" w:rsidP="00457B6E">
            <w:pPr>
              <w:rPr>
                <w:rFonts w:cs="Arial"/>
              </w:rPr>
            </w:pPr>
            <w:r w:rsidRPr="006E7960">
              <w:rPr>
                <w:rFonts w:cs="Arial"/>
              </w:rPr>
              <w:t>Services related to oral health coordin</w:t>
            </w:r>
            <w:r w:rsidR="007B4017">
              <w:rPr>
                <w:rFonts w:cs="Arial"/>
              </w:rPr>
              <w:t>ation shall be documented in PE.</w:t>
            </w:r>
          </w:p>
        </w:tc>
      </w:tr>
    </w:tbl>
    <w:p w:rsidR="009724C7" w:rsidRDefault="009724C7" w:rsidP="009724C7">
      <w:pPr>
        <w:spacing w:after="0" w:line="240" w:lineRule="auto"/>
        <w:jc w:val="both"/>
        <w:rPr>
          <w:rFonts w:ascii="Arial" w:hAnsi="Arial" w:cs="Arial"/>
          <w:sz w:val="24"/>
        </w:rPr>
      </w:pPr>
    </w:p>
    <w:tbl>
      <w:tblPr>
        <w:tblStyle w:val="TableGrid7"/>
        <w:tblW w:w="0" w:type="auto"/>
        <w:tblLook w:val="04A0" w:firstRow="1" w:lastRow="0" w:firstColumn="1" w:lastColumn="0" w:noHBand="0" w:noVBand="1"/>
      </w:tblPr>
      <w:tblGrid>
        <w:gridCol w:w="9576"/>
      </w:tblGrid>
      <w:tr w:rsidR="00BF740C" w:rsidRPr="00DE4D08" w:rsidTr="00304877">
        <w:tc>
          <w:tcPr>
            <w:tcW w:w="9576" w:type="dxa"/>
            <w:tcBorders>
              <w:top w:val="single" w:sz="12" w:space="0" w:color="17365D" w:themeColor="text2" w:themeShade="BF"/>
              <w:left w:val="nil"/>
              <w:bottom w:val="single" w:sz="12" w:space="0" w:color="17365D" w:themeColor="text2" w:themeShade="BF"/>
              <w:right w:val="nil"/>
            </w:tcBorders>
          </w:tcPr>
          <w:p w:rsidR="00BF740C" w:rsidRPr="00BF740C" w:rsidRDefault="00BF740C" w:rsidP="00BF740C">
            <w:pPr>
              <w:pStyle w:val="Heading3"/>
              <w:spacing w:before="0"/>
              <w:outlineLvl w:val="2"/>
            </w:pPr>
            <w:bookmarkStart w:id="38" w:name="_Toc489280883"/>
            <w:r w:rsidRPr="00BF740C">
              <w:rPr>
                <w:sz w:val="28"/>
              </w:rPr>
              <w:lastRenderedPageBreak/>
              <w:t>6.0 Discharge</w:t>
            </w:r>
            <w:bookmarkEnd w:id="38"/>
          </w:p>
        </w:tc>
      </w:tr>
    </w:tbl>
    <w:p w:rsidR="009724C7" w:rsidRPr="009724C7" w:rsidRDefault="009724C7" w:rsidP="009724C7">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7B4017" w:rsidTr="007B4017">
        <w:tc>
          <w:tcPr>
            <w:tcW w:w="9576" w:type="dxa"/>
            <w:tcBorders>
              <w:top w:val="nil"/>
              <w:left w:val="nil"/>
              <w:bottom w:val="nil"/>
              <w:right w:val="nil"/>
            </w:tcBorders>
          </w:tcPr>
          <w:p w:rsidR="007B4017" w:rsidRDefault="007B4017" w:rsidP="007B4017">
            <w:pPr>
              <w:rPr>
                <w:rFonts w:cs="Arial"/>
              </w:rPr>
            </w:pPr>
            <w:r w:rsidRPr="009724C7">
              <w:rPr>
                <w:rFonts w:cs="Arial"/>
              </w:rPr>
              <w:t>Clients who have been successfully linked or are no longer engaged in HIV treatment and care services shall have their cases closed based on the criteria and protocol outlined in the agency’s Early Intervention Services Manual.</w:t>
            </w:r>
          </w:p>
        </w:tc>
      </w:tr>
    </w:tbl>
    <w:p w:rsidR="009724C7" w:rsidRPr="009724C7" w:rsidRDefault="009724C7" w:rsidP="009724C7">
      <w:pPr>
        <w:spacing w:after="0" w:line="240" w:lineRule="auto"/>
        <w:jc w:val="both"/>
        <w:rPr>
          <w:rFonts w:ascii="Arial" w:hAnsi="Arial" w:cs="Arial"/>
          <w:sz w:val="24"/>
          <w:szCs w:val="20"/>
        </w:rPr>
      </w:pPr>
    </w:p>
    <w:tbl>
      <w:tblPr>
        <w:tblStyle w:val="TableGrid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9724C7" w:rsidRPr="009724C7" w:rsidTr="00271BEE">
        <w:tc>
          <w:tcPr>
            <w:tcW w:w="9558" w:type="dxa"/>
            <w:gridSpan w:val="6"/>
            <w:shd w:val="clear" w:color="auto" w:fill="17365D" w:themeFill="text2" w:themeFillShade="BF"/>
          </w:tcPr>
          <w:p w:rsidR="009724C7" w:rsidRPr="009724C7" w:rsidRDefault="009724C7" w:rsidP="00304877">
            <w:pPr>
              <w:pStyle w:val="Heading4"/>
              <w:spacing w:before="0"/>
              <w:outlineLvl w:val="3"/>
            </w:pPr>
            <w:r w:rsidRPr="00304877">
              <w:rPr>
                <w:color w:val="FFFFFF" w:themeColor="background1"/>
                <w:sz w:val="28"/>
              </w:rPr>
              <w:t>6.0 Discharge</w:t>
            </w:r>
          </w:p>
        </w:tc>
      </w:tr>
      <w:tr w:rsidR="009724C7" w:rsidRPr="009724C7" w:rsidTr="00271BEE">
        <w:tc>
          <w:tcPr>
            <w:tcW w:w="720" w:type="dxa"/>
          </w:tcPr>
          <w:p w:rsidR="009724C7" w:rsidRPr="009724C7" w:rsidRDefault="009724C7" w:rsidP="009724C7">
            <w:pPr>
              <w:rPr>
                <w:rFonts w:cs="Arial"/>
              </w:rPr>
            </w:pPr>
          </w:p>
        </w:tc>
        <w:tc>
          <w:tcPr>
            <w:tcW w:w="4176" w:type="dxa"/>
            <w:gridSpan w:val="2"/>
          </w:tcPr>
          <w:p w:rsidR="009724C7" w:rsidRPr="009724C7" w:rsidRDefault="009724C7" w:rsidP="009724C7">
            <w:pPr>
              <w:rPr>
                <w:rFonts w:cs="Arial"/>
              </w:rPr>
            </w:pPr>
          </w:p>
        </w:tc>
        <w:tc>
          <w:tcPr>
            <w:tcW w:w="720" w:type="dxa"/>
            <w:gridSpan w:val="2"/>
          </w:tcPr>
          <w:p w:rsidR="009724C7" w:rsidRPr="009724C7" w:rsidRDefault="009724C7" w:rsidP="009724C7">
            <w:pPr>
              <w:rPr>
                <w:rFonts w:cs="Arial"/>
              </w:rPr>
            </w:pPr>
          </w:p>
        </w:tc>
        <w:tc>
          <w:tcPr>
            <w:tcW w:w="3942" w:type="dxa"/>
          </w:tcPr>
          <w:p w:rsidR="009724C7" w:rsidRPr="009724C7" w:rsidRDefault="009724C7" w:rsidP="009724C7">
            <w:pPr>
              <w:rPr>
                <w:rFonts w:cs="Arial"/>
              </w:rPr>
            </w:pPr>
          </w:p>
        </w:tc>
      </w:tr>
      <w:tr w:rsidR="009724C7" w:rsidRPr="009724C7" w:rsidTr="00271BEE">
        <w:tc>
          <w:tcPr>
            <w:tcW w:w="4896" w:type="dxa"/>
            <w:gridSpan w:val="3"/>
            <w:tcBorders>
              <w:bottom w:val="single" w:sz="12" w:space="0" w:color="17365D" w:themeColor="text2" w:themeShade="BF"/>
              <w:right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9724C7" w:rsidRPr="00457B6E" w:rsidRDefault="009724C7" w:rsidP="009724C7">
            <w:pPr>
              <w:jc w:val="center"/>
              <w:rPr>
                <w:rStyle w:val="BookTitle"/>
              </w:rPr>
            </w:pPr>
            <w:r w:rsidRPr="00457B6E">
              <w:rPr>
                <w:rStyle w:val="BookTitle"/>
              </w:rPr>
              <w:t>Measures</w:t>
            </w:r>
          </w:p>
        </w:tc>
      </w:tr>
      <w:tr w:rsidR="009724C7" w:rsidRPr="00304877" w:rsidTr="00271BEE">
        <w:trPr>
          <w:trHeight w:val="978"/>
        </w:trPr>
        <w:tc>
          <w:tcPr>
            <w:tcW w:w="738" w:type="dxa"/>
            <w:gridSpan w:val="2"/>
            <w:tcBorders>
              <w:top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6.1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457B6E" w:rsidRDefault="009724C7" w:rsidP="00271BEE">
            <w:pPr>
              <w:spacing w:after="200"/>
              <w:rPr>
                <w:rFonts w:cs="Arial"/>
                <w:szCs w:val="22"/>
              </w:rPr>
            </w:pPr>
            <w:r w:rsidRPr="00457B6E">
              <w:rPr>
                <w:rFonts w:cs="Arial"/>
                <w:szCs w:val="22"/>
              </w:rPr>
              <w:t>Upon termination of active early intervention services, a consumer’s case shall be closed and the record shall contain a discharge summary documenting the case disposition and offer an exit interview.</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6.1</w:t>
            </w:r>
          </w:p>
        </w:tc>
        <w:tc>
          <w:tcPr>
            <w:tcW w:w="3960" w:type="dxa"/>
            <w:gridSpan w:val="2"/>
            <w:tcBorders>
              <w:top w:val="single" w:sz="12" w:space="0" w:color="17365D" w:themeColor="text2" w:themeShade="BF"/>
              <w:bottom w:val="single" w:sz="12" w:space="0" w:color="17365D" w:themeColor="text2" w:themeShade="BF"/>
            </w:tcBorders>
          </w:tcPr>
          <w:p w:rsidR="00271BEE" w:rsidRPr="00457B6E" w:rsidRDefault="009724C7" w:rsidP="00271BEE">
            <w:pPr>
              <w:rPr>
                <w:rFonts w:cs="Arial"/>
                <w:szCs w:val="22"/>
              </w:rPr>
            </w:pPr>
            <w:r w:rsidRPr="00457B6E">
              <w:rPr>
                <w:rFonts w:cs="Arial"/>
                <w:szCs w:val="22"/>
              </w:rPr>
              <w:t>Upon discharge consumers shall receive a transition plan that outlines available resources and instructions for follow-up. Documentation of discharge shall be in PE.</w:t>
            </w:r>
          </w:p>
        </w:tc>
      </w:tr>
      <w:tr w:rsidR="009724C7" w:rsidRPr="00304877" w:rsidTr="00271BEE">
        <w:tc>
          <w:tcPr>
            <w:tcW w:w="738" w:type="dxa"/>
            <w:gridSpan w:val="2"/>
            <w:tcBorders>
              <w:top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6.2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457B6E" w:rsidRDefault="009724C7" w:rsidP="00271BEE">
            <w:pPr>
              <w:spacing w:after="200"/>
              <w:rPr>
                <w:rFonts w:cs="Arial"/>
                <w:szCs w:val="22"/>
              </w:rPr>
            </w:pPr>
            <w:r w:rsidRPr="00457B6E">
              <w:rPr>
                <w:rFonts w:cs="Arial"/>
                <w:szCs w:val="22"/>
              </w:rPr>
              <w:t>All attempts to contact the consumer and notification about case closure shall be communicated to the case manager, if applicable.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6.2</w:t>
            </w:r>
          </w:p>
        </w:tc>
        <w:tc>
          <w:tcPr>
            <w:tcW w:w="3960" w:type="dxa"/>
            <w:gridSpan w:val="2"/>
            <w:tcBorders>
              <w:top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Documentation of consumer contacts and notification to the case manager shall be recorded in PE and shall include the reason(s) for closure.</w:t>
            </w:r>
          </w:p>
          <w:p w:rsidR="00271BEE" w:rsidRPr="00457B6E" w:rsidRDefault="00271BEE" w:rsidP="00271BEE">
            <w:pPr>
              <w:rPr>
                <w:rFonts w:cs="Arial"/>
                <w:szCs w:val="22"/>
              </w:rPr>
            </w:pPr>
          </w:p>
        </w:tc>
      </w:tr>
      <w:tr w:rsidR="009724C7" w:rsidRPr="00304877" w:rsidTr="00271BEE">
        <w:tc>
          <w:tcPr>
            <w:tcW w:w="738" w:type="dxa"/>
            <w:gridSpan w:val="2"/>
            <w:tcBorders>
              <w:top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6.3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457B6E" w:rsidRDefault="009724C7" w:rsidP="00271BEE">
            <w:pPr>
              <w:spacing w:after="200"/>
              <w:rPr>
                <w:rFonts w:cs="Arial"/>
                <w:szCs w:val="22"/>
              </w:rPr>
            </w:pPr>
            <w:r w:rsidRPr="00457B6E">
              <w:rPr>
                <w:rFonts w:cs="Arial"/>
                <w:szCs w:val="22"/>
              </w:rPr>
              <w:t>Cases may be closed when the consumer:</w:t>
            </w:r>
          </w:p>
          <w:p w:rsidR="009724C7" w:rsidRPr="00457B6E" w:rsidRDefault="009724C7" w:rsidP="001B1B43">
            <w:pPr>
              <w:pStyle w:val="ListParagraph"/>
              <w:numPr>
                <w:ilvl w:val="0"/>
                <w:numId w:val="100"/>
              </w:numPr>
              <w:rPr>
                <w:rFonts w:cs="Arial"/>
              </w:rPr>
            </w:pPr>
            <w:r w:rsidRPr="00457B6E">
              <w:rPr>
                <w:rFonts w:cs="Arial"/>
              </w:rPr>
              <w:t>Has achieved the goals listed on the Care Plan;</w:t>
            </w:r>
          </w:p>
          <w:p w:rsidR="009724C7" w:rsidRPr="00457B6E" w:rsidRDefault="009724C7" w:rsidP="001B1B43">
            <w:pPr>
              <w:pStyle w:val="ListParagraph"/>
              <w:numPr>
                <w:ilvl w:val="0"/>
                <w:numId w:val="100"/>
              </w:numPr>
              <w:rPr>
                <w:rFonts w:cs="Arial"/>
              </w:rPr>
            </w:pPr>
            <w:r w:rsidRPr="00457B6E">
              <w:rPr>
                <w:rFonts w:cs="Arial"/>
              </w:rPr>
              <w:t>Has become ineligible for services;</w:t>
            </w:r>
          </w:p>
          <w:p w:rsidR="009724C7" w:rsidRPr="00457B6E" w:rsidRDefault="009724C7" w:rsidP="001B1B43">
            <w:pPr>
              <w:pStyle w:val="ListParagraph"/>
              <w:numPr>
                <w:ilvl w:val="0"/>
                <w:numId w:val="100"/>
              </w:numPr>
              <w:rPr>
                <w:rFonts w:cs="Arial"/>
              </w:rPr>
            </w:pPr>
            <w:r w:rsidRPr="00457B6E">
              <w:rPr>
                <w:rFonts w:cs="Arial"/>
              </w:rPr>
              <w:t>Is deceased;</w:t>
            </w:r>
          </w:p>
          <w:p w:rsidR="009724C7" w:rsidRPr="00457B6E" w:rsidRDefault="009724C7" w:rsidP="001B1B43">
            <w:pPr>
              <w:pStyle w:val="ListParagraph"/>
              <w:numPr>
                <w:ilvl w:val="0"/>
                <w:numId w:val="100"/>
              </w:numPr>
              <w:rPr>
                <w:rFonts w:cs="Arial"/>
              </w:rPr>
            </w:pPr>
            <w:r w:rsidRPr="00457B6E">
              <w:rPr>
                <w:rFonts w:cs="Arial"/>
              </w:rPr>
              <w:t>No longer needs the services;</w:t>
            </w:r>
          </w:p>
          <w:p w:rsidR="009724C7" w:rsidRPr="00457B6E" w:rsidRDefault="009724C7" w:rsidP="001B1B43">
            <w:pPr>
              <w:pStyle w:val="ListParagraph"/>
              <w:numPr>
                <w:ilvl w:val="0"/>
                <w:numId w:val="100"/>
              </w:numPr>
              <w:rPr>
                <w:rFonts w:cs="Arial"/>
              </w:rPr>
            </w:pPr>
            <w:r w:rsidRPr="00457B6E">
              <w:rPr>
                <w:rFonts w:cs="Arial"/>
              </w:rPr>
              <w:t>Decides to discontinue the services;</w:t>
            </w:r>
          </w:p>
          <w:p w:rsidR="009724C7" w:rsidRPr="00457B6E" w:rsidRDefault="009724C7" w:rsidP="001B1B43">
            <w:pPr>
              <w:pStyle w:val="ListParagraph"/>
              <w:numPr>
                <w:ilvl w:val="0"/>
                <w:numId w:val="100"/>
              </w:numPr>
              <w:rPr>
                <w:rFonts w:cs="Arial"/>
              </w:rPr>
            </w:pPr>
            <w:r w:rsidRPr="00457B6E">
              <w:rPr>
                <w:rFonts w:cs="Arial"/>
              </w:rPr>
              <w:t>The service provider is unable to contact the consumer for a determined period of time; or,</w:t>
            </w:r>
          </w:p>
          <w:p w:rsidR="009724C7" w:rsidRPr="00457B6E" w:rsidRDefault="009724C7" w:rsidP="001B1B43">
            <w:pPr>
              <w:pStyle w:val="ListParagraph"/>
              <w:numPr>
                <w:ilvl w:val="0"/>
                <w:numId w:val="100"/>
              </w:numPr>
              <w:rPr>
                <w:rFonts w:cs="Arial"/>
              </w:rPr>
            </w:pPr>
            <w:r w:rsidRPr="00457B6E">
              <w:rPr>
                <w:rFonts w:cs="Arial"/>
              </w:rPr>
              <w:t>Is found to be improperly utilizing the service or is asked to leave the agency.</w:t>
            </w:r>
          </w:p>
          <w:p w:rsidR="00BF740C" w:rsidRPr="00457B6E" w:rsidRDefault="00BF740C" w:rsidP="00BF740C">
            <w:pPr>
              <w:pStyle w:val="ListParagraph"/>
              <w:rPr>
                <w:rFonts w:cs="Arial"/>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6.3</w:t>
            </w:r>
          </w:p>
        </w:tc>
        <w:tc>
          <w:tcPr>
            <w:tcW w:w="3960" w:type="dxa"/>
            <w:gridSpan w:val="2"/>
            <w:tcBorders>
              <w:top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Documentation of reason for case closure in PE.</w:t>
            </w:r>
          </w:p>
        </w:tc>
      </w:tr>
      <w:tr w:rsidR="009724C7" w:rsidRPr="00304877" w:rsidTr="00271BEE">
        <w:tc>
          <w:tcPr>
            <w:tcW w:w="738" w:type="dxa"/>
            <w:gridSpan w:val="2"/>
            <w:tcBorders>
              <w:top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6.4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9724C7" w:rsidRPr="00457B6E" w:rsidRDefault="009724C7" w:rsidP="00271BEE">
            <w:pPr>
              <w:spacing w:after="200"/>
              <w:rPr>
                <w:rFonts w:cs="Arial"/>
                <w:szCs w:val="22"/>
              </w:rPr>
            </w:pPr>
            <w:r w:rsidRPr="00457B6E">
              <w:rPr>
                <w:rFonts w:cs="Arial"/>
                <w:szCs w:val="22"/>
              </w:rPr>
              <w:t>Supervisor approval is required for all case closures.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6.4</w:t>
            </w:r>
          </w:p>
        </w:tc>
        <w:tc>
          <w:tcPr>
            <w:tcW w:w="3960" w:type="dxa"/>
            <w:gridSpan w:val="2"/>
            <w:tcBorders>
              <w:top w:val="single" w:sz="12" w:space="0" w:color="17365D" w:themeColor="text2" w:themeShade="BF"/>
              <w:bottom w:val="single" w:sz="12" w:space="0" w:color="17365D" w:themeColor="text2" w:themeShade="BF"/>
            </w:tcBorders>
          </w:tcPr>
          <w:p w:rsidR="009724C7" w:rsidRPr="00457B6E" w:rsidRDefault="009724C7" w:rsidP="00271BEE">
            <w:pPr>
              <w:rPr>
                <w:rFonts w:cs="Arial"/>
                <w:szCs w:val="22"/>
              </w:rPr>
            </w:pPr>
            <w:r w:rsidRPr="00457B6E">
              <w:rPr>
                <w:rFonts w:cs="Arial"/>
                <w:szCs w:val="22"/>
              </w:rPr>
              <w:t>Documentation of supervisor approval in PE.</w:t>
            </w:r>
          </w:p>
        </w:tc>
      </w:tr>
    </w:tbl>
    <w:p w:rsidR="009724C7" w:rsidRPr="00304877" w:rsidRDefault="009724C7" w:rsidP="00271BEE">
      <w:pPr>
        <w:spacing w:after="0" w:line="240" w:lineRule="auto"/>
        <w:jc w:val="both"/>
        <w:rPr>
          <w:rFonts w:ascii="Arial" w:hAnsi="Arial" w:cs="Arial"/>
        </w:rPr>
      </w:pPr>
    </w:p>
    <w:p w:rsidR="009724C7" w:rsidRPr="00304877" w:rsidRDefault="009724C7" w:rsidP="00271BEE">
      <w:pPr>
        <w:spacing w:after="0" w:line="240" w:lineRule="auto"/>
        <w:jc w:val="both"/>
        <w:rPr>
          <w:rFonts w:ascii="Arial" w:hAnsi="Arial" w:cs="Arial"/>
        </w:rPr>
      </w:pPr>
    </w:p>
    <w:p w:rsidR="005E5FC3" w:rsidRDefault="005E5FC3" w:rsidP="00B643CB">
      <w:pPr>
        <w:spacing w:after="0" w:line="240" w:lineRule="auto"/>
        <w:jc w:val="both"/>
        <w:rPr>
          <w:rFonts w:ascii="Arial" w:hAnsi="Arial" w:cs="Arial"/>
          <w:sz w:val="24"/>
        </w:rPr>
        <w:sectPr w:rsidR="005E5FC3" w:rsidSect="00B30500">
          <w:footerReference w:type="default" r:id="rId42"/>
          <w:footerReference w:type="first" r:id="rId43"/>
          <w:pgSz w:w="12240" w:h="15840" w:code="1"/>
          <w:pgMar w:top="1296" w:right="1440" w:bottom="1296" w:left="1440" w:header="720" w:footer="432" w:gutter="0"/>
          <w:cols w:space="720"/>
          <w:titlePg/>
          <w:docGrid w:linePitch="360"/>
        </w:sectPr>
      </w:pPr>
    </w:p>
    <w:tbl>
      <w:tblPr>
        <w:tblStyle w:val="TableGrid"/>
        <w:tblW w:w="0" w:type="auto"/>
        <w:shd w:val="clear" w:color="auto" w:fill="17365D" w:themeFill="text2" w:themeFillShade="BF"/>
        <w:tblLook w:val="04A0" w:firstRow="1" w:lastRow="0" w:firstColumn="1" w:lastColumn="0" w:noHBand="0" w:noVBand="1"/>
      </w:tblPr>
      <w:tblGrid>
        <w:gridCol w:w="9576"/>
      </w:tblGrid>
      <w:tr w:rsidR="001B74CB" w:rsidTr="001B74CB">
        <w:tc>
          <w:tcPr>
            <w:tcW w:w="9576" w:type="dxa"/>
            <w:shd w:val="clear" w:color="auto" w:fill="17365D" w:themeFill="text2" w:themeFillShade="BF"/>
          </w:tcPr>
          <w:p w:rsidR="001B74CB" w:rsidRPr="001B74CB" w:rsidRDefault="004C6558" w:rsidP="00304877">
            <w:pPr>
              <w:pStyle w:val="Heading2"/>
              <w:spacing w:before="0"/>
              <w:jc w:val="center"/>
              <w:outlineLvl w:val="1"/>
            </w:pPr>
            <w:bookmarkStart w:id="39" w:name="_Health_Insurance_Premium"/>
            <w:bookmarkStart w:id="40" w:name="_Toc489280884"/>
            <w:bookmarkEnd w:id="39"/>
            <w:r w:rsidRPr="00304877">
              <w:rPr>
                <w:color w:val="FFFFFF" w:themeColor="background1"/>
                <w:sz w:val="32"/>
              </w:rPr>
              <w:lastRenderedPageBreak/>
              <w:t>Health Insurance Premium and Cost Sharing Assistance for Low-Income Individuals</w:t>
            </w:r>
            <w:bookmarkEnd w:id="40"/>
          </w:p>
        </w:tc>
      </w:tr>
    </w:tbl>
    <w:p w:rsidR="001B74CB" w:rsidRDefault="001B74CB" w:rsidP="00B643CB">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7B4017" w:rsidTr="007B4017">
        <w:tc>
          <w:tcPr>
            <w:tcW w:w="9576" w:type="dxa"/>
            <w:tcBorders>
              <w:top w:val="nil"/>
              <w:left w:val="nil"/>
              <w:bottom w:val="nil"/>
              <w:right w:val="nil"/>
            </w:tcBorders>
          </w:tcPr>
          <w:p w:rsidR="007B4017" w:rsidRDefault="007B4017" w:rsidP="007B4017">
            <w:pPr>
              <w:rPr>
                <w:rFonts w:cs="Arial"/>
                <w:b/>
              </w:rPr>
            </w:pPr>
            <w:r w:rsidRPr="00271BEE">
              <w:rPr>
                <w:rFonts w:cs="Arial"/>
                <w:b/>
              </w:rPr>
              <w:t xml:space="preserve">Definition: </w:t>
            </w:r>
          </w:p>
          <w:p w:rsidR="007B4017" w:rsidRPr="00271BEE" w:rsidRDefault="007B4017" w:rsidP="007B4017">
            <w:pPr>
              <w:rPr>
                <w:rFonts w:cs="Arial"/>
              </w:rPr>
            </w:pPr>
            <w:r w:rsidRPr="00271BEE">
              <w:rPr>
                <w:rFonts w:cs="Arial"/>
              </w:rPr>
              <w:t>Health insurance premium and cost-sharing assistance provides financial assistance for eligible consumers living with HIV to maintain continuity of Health insurance or to receive medical and pharmacy benefits under a health care coverage program. For purposes of this service category, health insurance also includes standalone dental insurance. The service provision consists of the following:</w:t>
            </w:r>
          </w:p>
          <w:p w:rsidR="007B4017" w:rsidRPr="00271BEE" w:rsidRDefault="007B4017" w:rsidP="001B1B43">
            <w:pPr>
              <w:pStyle w:val="ListParagraph"/>
              <w:numPr>
                <w:ilvl w:val="0"/>
                <w:numId w:val="49"/>
              </w:numPr>
              <w:rPr>
                <w:rFonts w:cs="Arial"/>
              </w:rPr>
            </w:pPr>
            <w:r w:rsidRPr="00271BEE">
              <w:rPr>
                <w:rFonts w:cs="Arial"/>
              </w:rPr>
              <w:t>Paying health insurance premiums to provide comprehensive HIV Outpatient/Ambulatory Health Services, and pharmacy benefits that provide a full range of HIV medications for eligible consumers; and/or</w:t>
            </w:r>
          </w:p>
          <w:p w:rsidR="007B4017" w:rsidRPr="00271BEE" w:rsidRDefault="007B4017" w:rsidP="001B1B43">
            <w:pPr>
              <w:pStyle w:val="ListParagraph"/>
              <w:numPr>
                <w:ilvl w:val="0"/>
                <w:numId w:val="49"/>
              </w:numPr>
              <w:rPr>
                <w:rFonts w:cs="Arial"/>
              </w:rPr>
            </w:pPr>
            <w:r w:rsidRPr="00271BEE">
              <w:rPr>
                <w:rFonts w:cs="Arial"/>
              </w:rPr>
              <w:t>Paying standalone dental insurance premiums to provide comprehensive oral health care services for eligible consumers; and/or</w:t>
            </w:r>
          </w:p>
          <w:p w:rsidR="007B4017" w:rsidRPr="00271BEE" w:rsidRDefault="007B4017" w:rsidP="001B1B43">
            <w:pPr>
              <w:pStyle w:val="ListParagraph"/>
              <w:numPr>
                <w:ilvl w:val="0"/>
                <w:numId w:val="49"/>
              </w:numPr>
              <w:rPr>
                <w:rFonts w:cs="Arial"/>
              </w:rPr>
            </w:pPr>
            <w:r w:rsidRPr="00271BEE">
              <w:rPr>
                <w:rFonts w:cs="Arial"/>
              </w:rPr>
              <w:t>Paying cost sharing on behalf of the consumer.</w:t>
            </w:r>
          </w:p>
          <w:p w:rsidR="007B4017" w:rsidRPr="00271BEE" w:rsidRDefault="007B4017" w:rsidP="007B4017">
            <w:pPr>
              <w:rPr>
                <w:rFonts w:cs="Arial"/>
              </w:rPr>
            </w:pPr>
          </w:p>
          <w:p w:rsidR="007B4017" w:rsidRDefault="007B4017" w:rsidP="007B4017">
            <w:pPr>
              <w:rPr>
                <w:rFonts w:cs="Arial"/>
                <w:b/>
              </w:rPr>
            </w:pPr>
            <w:r w:rsidRPr="00271BEE">
              <w:rPr>
                <w:rFonts w:cs="Arial"/>
                <w:b/>
              </w:rPr>
              <w:t xml:space="preserve">Eligibility: </w:t>
            </w:r>
          </w:p>
          <w:p w:rsidR="007B4017" w:rsidRDefault="007B4017" w:rsidP="007B4017">
            <w:pPr>
              <w:rPr>
                <w:rFonts w:cs="Arial"/>
              </w:rPr>
            </w:pPr>
            <w:r w:rsidRPr="00271BEE">
              <w:rPr>
                <w:rFonts w:cs="Arial"/>
              </w:rPr>
              <w:t>Consumers accessing Health Insurance Premium &amp; Cost Sharing Assistance Service shall meet the eligibility requirements of the Marketplace and have income between 100 and 400 percent FPL.</w:t>
            </w:r>
          </w:p>
        </w:tc>
      </w:tr>
    </w:tbl>
    <w:p w:rsidR="00271BEE" w:rsidRPr="00304877" w:rsidRDefault="00271BEE" w:rsidP="00271BEE">
      <w:pPr>
        <w:spacing w:after="0" w:line="240" w:lineRule="auto"/>
        <w:jc w:val="both"/>
        <w:rPr>
          <w:rFonts w:ascii="Arial" w:hAnsi="Arial" w:cs="Arial"/>
          <w:sz w:val="28"/>
        </w:rPr>
      </w:pPr>
    </w:p>
    <w:tbl>
      <w:tblPr>
        <w:tblStyle w:val="TableGrid9"/>
        <w:tblW w:w="0" w:type="auto"/>
        <w:tblLook w:val="04A0" w:firstRow="1" w:lastRow="0" w:firstColumn="1" w:lastColumn="0" w:noHBand="0" w:noVBand="1"/>
      </w:tblPr>
      <w:tblGrid>
        <w:gridCol w:w="9576"/>
      </w:tblGrid>
      <w:tr w:rsidR="00271BEE" w:rsidRPr="00304877" w:rsidTr="007B4017">
        <w:tc>
          <w:tcPr>
            <w:tcW w:w="9576" w:type="dxa"/>
            <w:tcBorders>
              <w:top w:val="single" w:sz="12" w:space="0" w:color="auto"/>
              <w:left w:val="nil"/>
              <w:bottom w:val="nil"/>
              <w:right w:val="nil"/>
            </w:tcBorders>
          </w:tcPr>
          <w:p w:rsidR="00271BEE" w:rsidRPr="008E7A5D" w:rsidRDefault="00271BEE" w:rsidP="008E7A5D">
            <w:pPr>
              <w:pStyle w:val="Heading3"/>
              <w:spacing w:before="0"/>
              <w:outlineLvl w:val="2"/>
              <w:rPr>
                <w:sz w:val="28"/>
              </w:rPr>
            </w:pPr>
            <w:bookmarkStart w:id="41" w:name="_Toc489280885"/>
            <w:r w:rsidRPr="008E7A5D">
              <w:rPr>
                <w:sz w:val="28"/>
              </w:rPr>
              <w:t>1.0 Agency Policies and Procedures</w:t>
            </w:r>
            <w:bookmarkEnd w:id="41"/>
          </w:p>
        </w:tc>
      </w:tr>
    </w:tbl>
    <w:p w:rsidR="00DE64CF" w:rsidRDefault="00DE64CF"/>
    <w:tbl>
      <w:tblPr>
        <w:tblStyle w:val="TableGrid"/>
        <w:tblW w:w="0" w:type="auto"/>
        <w:tblLook w:val="04A0" w:firstRow="1" w:lastRow="0" w:firstColumn="1" w:lastColumn="0" w:noHBand="0" w:noVBand="1"/>
      </w:tblPr>
      <w:tblGrid>
        <w:gridCol w:w="9576"/>
      </w:tblGrid>
      <w:tr w:rsidR="007B4017" w:rsidTr="007B4017">
        <w:tc>
          <w:tcPr>
            <w:tcW w:w="9576" w:type="dxa"/>
            <w:tcBorders>
              <w:top w:val="nil"/>
              <w:left w:val="nil"/>
              <w:bottom w:val="nil"/>
              <w:right w:val="nil"/>
            </w:tcBorders>
          </w:tcPr>
          <w:p w:rsidR="007B4017" w:rsidRDefault="007B4017" w:rsidP="00DE64CF">
            <w:pPr>
              <w:rPr>
                <w:rFonts w:cs="Arial"/>
              </w:rPr>
            </w:pPr>
            <w:r w:rsidRPr="00271BEE">
              <w:rPr>
                <w:rFonts w:cs="Arial"/>
              </w:rPr>
              <w:t>The objective of the Policies and Procedures Standard for Health Insurance Premium &amp; Cost-Sharing Assistance is to ensure that Ryan White Part A is the payer of last resort</w:t>
            </w:r>
            <w:r>
              <w:rPr>
                <w:rFonts w:cs="Arial"/>
              </w:rPr>
              <w:t>.</w:t>
            </w:r>
          </w:p>
        </w:tc>
      </w:tr>
    </w:tbl>
    <w:p w:rsidR="00271BEE" w:rsidRPr="00271BEE" w:rsidRDefault="00271BEE" w:rsidP="00271BEE">
      <w:pPr>
        <w:spacing w:after="0" w:line="240" w:lineRule="auto"/>
        <w:jc w:val="both"/>
        <w:rPr>
          <w:rFonts w:ascii="Arial" w:hAnsi="Arial" w:cs="Arial"/>
          <w:sz w:val="24"/>
        </w:rPr>
      </w:pPr>
    </w:p>
    <w:tbl>
      <w:tblPr>
        <w:tblStyle w:val="TableGrid9"/>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271BEE" w:rsidRPr="00271BEE" w:rsidTr="00304877">
        <w:tc>
          <w:tcPr>
            <w:tcW w:w="9558" w:type="dxa"/>
            <w:gridSpan w:val="4"/>
            <w:shd w:val="clear" w:color="auto" w:fill="17365D" w:themeFill="text2" w:themeFillShade="BF"/>
          </w:tcPr>
          <w:p w:rsidR="00271BEE" w:rsidRPr="00271BEE" w:rsidRDefault="00271BEE" w:rsidP="007B4017">
            <w:pPr>
              <w:pStyle w:val="Heading4"/>
              <w:spacing w:before="0"/>
              <w:outlineLvl w:val="3"/>
            </w:pPr>
            <w:r w:rsidRPr="00304877">
              <w:rPr>
                <w:color w:val="FFFFFF" w:themeColor="background1"/>
                <w:sz w:val="28"/>
              </w:rPr>
              <w:t>1.0 Agency Policies and Procedures</w:t>
            </w:r>
          </w:p>
        </w:tc>
      </w:tr>
      <w:tr w:rsidR="00304877" w:rsidRPr="00271BEE" w:rsidTr="00304877">
        <w:tc>
          <w:tcPr>
            <w:tcW w:w="4896" w:type="dxa"/>
            <w:gridSpan w:val="2"/>
            <w:vAlign w:val="center"/>
          </w:tcPr>
          <w:p w:rsidR="00304877" w:rsidRPr="00271BEE" w:rsidRDefault="00304877" w:rsidP="00271BEE">
            <w:pPr>
              <w:jc w:val="center"/>
              <w:rPr>
                <w:rFonts w:cs="Arial"/>
                <w:b/>
                <w:sz w:val="28"/>
              </w:rPr>
            </w:pPr>
          </w:p>
        </w:tc>
        <w:tc>
          <w:tcPr>
            <w:tcW w:w="4662" w:type="dxa"/>
            <w:gridSpan w:val="2"/>
            <w:vAlign w:val="center"/>
          </w:tcPr>
          <w:p w:rsidR="00304877" w:rsidRPr="00271BEE" w:rsidRDefault="00304877" w:rsidP="00271BEE">
            <w:pPr>
              <w:jc w:val="center"/>
              <w:rPr>
                <w:rFonts w:cs="Arial"/>
                <w:b/>
                <w:sz w:val="28"/>
              </w:rPr>
            </w:pPr>
          </w:p>
        </w:tc>
      </w:tr>
      <w:tr w:rsidR="00271BEE" w:rsidRPr="00271BEE" w:rsidTr="00304877">
        <w:tc>
          <w:tcPr>
            <w:tcW w:w="4896" w:type="dxa"/>
            <w:gridSpan w:val="2"/>
            <w:tcBorders>
              <w:bottom w:val="single" w:sz="12" w:space="0" w:color="17365D" w:themeColor="text2" w:themeShade="BF"/>
              <w:right w:val="single" w:sz="12" w:space="0" w:color="17365D" w:themeColor="text2" w:themeShade="BF"/>
            </w:tcBorders>
            <w:vAlign w:val="center"/>
          </w:tcPr>
          <w:p w:rsidR="00271BEE" w:rsidRPr="00457B6E" w:rsidRDefault="00271BEE" w:rsidP="00271BEE">
            <w:pPr>
              <w:jc w:val="center"/>
              <w:rPr>
                <w:rStyle w:val="BookTitle"/>
              </w:rPr>
            </w:pPr>
            <w:r w:rsidRPr="00457B6E">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271BEE" w:rsidRPr="00457B6E" w:rsidRDefault="00271BEE" w:rsidP="00271BEE">
            <w:pPr>
              <w:jc w:val="center"/>
              <w:rPr>
                <w:rStyle w:val="BookTitle"/>
              </w:rPr>
            </w:pPr>
            <w:r w:rsidRPr="00457B6E">
              <w:rPr>
                <w:rStyle w:val="BookTitle"/>
              </w:rPr>
              <w:t>Measures</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jc w:val="left"/>
              <w:rPr>
                <w:rFonts w:cs="Arial"/>
              </w:rPr>
            </w:pPr>
            <w:r w:rsidRPr="00457B6E">
              <w:rPr>
                <w:rFonts w:cs="Arial"/>
              </w:rPr>
              <w:t>Documentation of Eligibility Determination on file.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1.1</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Current Notice of Eligibility and documentation of FPL between 100% and 400% in Provide Enterprise (PE) record.</w:t>
            </w:r>
          </w:p>
          <w:p w:rsidR="00271BEE" w:rsidRPr="00457B6E" w:rsidRDefault="00271BEE" w:rsidP="00271BEE">
            <w:pPr>
              <w:rPr>
                <w:rFonts w:cs="Arial"/>
              </w:rPr>
            </w:pP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rPr>
            </w:pPr>
            <w:r w:rsidRPr="00457B6E">
              <w:rPr>
                <w:rFonts w:cs="Arial"/>
              </w:rPr>
              <w:t>Agencies shall be responsible for paying insurance premiums, for approved qualified health and dental plans through the Marketplace.</w:t>
            </w:r>
          </w:p>
          <w:p w:rsidR="00304877" w:rsidRPr="00457B6E" w:rsidRDefault="00304877" w:rsidP="00271BEE">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1.2</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Documented proof of insurance and summary of benefits in PE record.</w:t>
            </w:r>
          </w:p>
        </w:tc>
      </w:tr>
    </w:tbl>
    <w:p w:rsidR="00271BEE" w:rsidRDefault="00271BEE" w:rsidP="00271BEE">
      <w:pPr>
        <w:spacing w:after="0" w:line="240" w:lineRule="auto"/>
        <w:jc w:val="both"/>
        <w:rPr>
          <w:rFonts w:ascii="Arial" w:hAnsi="Arial" w:cs="Arial"/>
          <w:sz w:val="24"/>
        </w:rPr>
      </w:pPr>
    </w:p>
    <w:tbl>
      <w:tblPr>
        <w:tblStyle w:val="TableGrid9"/>
        <w:tblW w:w="0" w:type="auto"/>
        <w:tblLook w:val="04A0" w:firstRow="1" w:lastRow="0" w:firstColumn="1" w:lastColumn="0" w:noHBand="0" w:noVBand="1"/>
      </w:tblPr>
      <w:tblGrid>
        <w:gridCol w:w="9576"/>
      </w:tblGrid>
      <w:tr w:rsidR="00304877" w:rsidRPr="00304877" w:rsidTr="00304877">
        <w:tc>
          <w:tcPr>
            <w:tcW w:w="9576" w:type="dxa"/>
            <w:tcBorders>
              <w:top w:val="single" w:sz="12" w:space="0" w:color="auto"/>
              <w:left w:val="nil"/>
              <w:bottom w:val="single" w:sz="12" w:space="0" w:color="auto"/>
              <w:right w:val="nil"/>
            </w:tcBorders>
          </w:tcPr>
          <w:p w:rsidR="00304877" w:rsidRPr="008E7A5D" w:rsidRDefault="00304877" w:rsidP="008E7A5D">
            <w:pPr>
              <w:pStyle w:val="Heading3"/>
              <w:spacing w:before="0"/>
              <w:outlineLvl w:val="2"/>
              <w:rPr>
                <w:sz w:val="28"/>
              </w:rPr>
            </w:pPr>
            <w:bookmarkStart w:id="42" w:name="_Toc489280886"/>
            <w:r w:rsidRPr="008E7A5D">
              <w:rPr>
                <w:sz w:val="28"/>
              </w:rPr>
              <w:t>2.0 Scope of Work</w:t>
            </w:r>
            <w:bookmarkEnd w:id="42"/>
          </w:p>
        </w:tc>
      </w:tr>
    </w:tbl>
    <w:p w:rsidR="00AB12FA" w:rsidRDefault="00AB12FA" w:rsidP="00AB12FA">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AB12FA" w:rsidTr="00AB12FA">
        <w:tc>
          <w:tcPr>
            <w:tcW w:w="9576" w:type="dxa"/>
            <w:tcBorders>
              <w:top w:val="nil"/>
              <w:left w:val="nil"/>
              <w:bottom w:val="nil"/>
              <w:right w:val="nil"/>
            </w:tcBorders>
          </w:tcPr>
          <w:p w:rsidR="00AB12FA" w:rsidRDefault="00AB12FA" w:rsidP="00AB12FA">
            <w:pPr>
              <w:rPr>
                <w:rFonts w:cs="Arial"/>
              </w:rPr>
            </w:pPr>
            <w:r w:rsidRPr="00271BEE">
              <w:rPr>
                <w:rFonts w:cs="Arial"/>
              </w:rPr>
              <w:t>The objective of the Scope of Work Standard for Health Insurance Premium &amp; Cost Sharing Assistance is to ensure that Ryan White Part A is the payer of last resort.</w:t>
            </w:r>
          </w:p>
        </w:tc>
      </w:tr>
    </w:tbl>
    <w:tbl>
      <w:tblPr>
        <w:tblStyle w:val="TableGrid9"/>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271BEE" w:rsidRPr="00271BEE" w:rsidTr="00304877">
        <w:tc>
          <w:tcPr>
            <w:tcW w:w="9558" w:type="dxa"/>
            <w:gridSpan w:val="4"/>
            <w:shd w:val="clear" w:color="auto" w:fill="17365D" w:themeFill="text2" w:themeFillShade="BF"/>
          </w:tcPr>
          <w:p w:rsidR="00271BEE" w:rsidRPr="00271BEE" w:rsidRDefault="00271BEE" w:rsidP="00304877">
            <w:pPr>
              <w:pStyle w:val="Heading4"/>
              <w:spacing w:before="0"/>
              <w:outlineLvl w:val="3"/>
            </w:pPr>
            <w:r w:rsidRPr="00304877">
              <w:rPr>
                <w:color w:val="FFFFFF" w:themeColor="background1"/>
                <w:sz w:val="28"/>
              </w:rPr>
              <w:lastRenderedPageBreak/>
              <w:t>2.0 Scope of Work</w:t>
            </w:r>
          </w:p>
        </w:tc>
      </w:tr>
      <w:tr w:rsidR="00304877" w:rsidRPr="00271BEE" w:rsidTr="00304877">
        <w:tc>
          <w:tcPr>
            <w:tcW w:w="4896" w:type="dxa"/>
            <w:gridSpan w:val="2"/>
            <w:vAlign w:val="center"/>
          </w:tcPr>
          <w:p w:rsidR="00304877" w:rsidRPr="00271BEE" w:rsidRDefault="00304877" w:rsidP="00271BEE">
            <w:pPr>
              <w:jc w:val="center"/>
              <w:rPr>
                <w:rFonts w:cs="Arial"/>
                <w:b/>
                <w:sz w:val="28"/>
              </w:rPr>
            </w:pPr>
          </w:p>
        </w:tc>
        <w:tc>
          <w:tcPr>
            <w:tcW w:w="4662" w:type="dxa"/>
            <w:gridSpan w:val="2"/>
            <w:vAlign w:val="center"/>
          </w:tcPr>
          <w:p w:rsidR="00304877" w:rsidRPr="00271BEE" w:rsidRDefault="00304877" w:rsidP="00271BEE">
            <w:pPr>
              <w:jc w:val="center"/>
              <w:rPr>
                <w:rFonts w:cs="Arial"/>
                <w:b/>
                <w:sz w:val="28"/>
              </w:rPr>
            </w:pPr>
          </w:p>
        </w:tc>
      </w:tr>
      <w:tr w:rsidR="00271BEE" w:rsidRPr="00271BEE" w:rsidTr="00304877">
        <w:tc>
          <w:tcPr>
            <w:tcW w:w="4896" w:type="dxa"/>
            <w:gridSpan w:val="2"/>
            <w:tcBorders>
              <w:bottom w:val="single" w:sz="12" w:space="0" w:color="17365D" w:themeColor="text2" w:themeShade="BF"/>
              <w:right w:val="single" w:sz="12" w:space="0" w:color="17365D" w:themeColor="text2" w:themeShade="BF"/>
            </w:tcBorders>
            <w:vAlign w:val="center"/>
          </w:tcPr>
          <w:p w:rsidR="00271BEE" w:rsidRPr="00457B6E" w:rsidRDefault="00271BEE" w:rsidP="00271BEE">
            <w:pPr>
              <w:jc w:val="center"/>
              <w:rPr>
                <w:rStyle w:val="BookTitle"/>
              </w:rPr>
            </w:pPr>
            <w:r w:rsidRPr="00457B6E">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271BEE" w:rsidRPr="00457B6E" w:rsidRDefault="00271BEE" w:rsidP="00271BEE">
            <w:pPr>
              <w:jc w:val="center"/>
              <w:rPr>
                <w:rStyle w:val="BookTitle"/>
              </w:rPr>
            </w:pPr>
            <w:r w:rsidRPr="00457B6E">
              <w:rPr>
                <w:rStyle w:val="BookTitle"/>
              </w:rPr>
              <w:t>Measures</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rPr>
            </w:pPr>
            <w:r w:rsidRPr="00457B6E">
              <w:rPr>
                <w:rFonts w:cs="Arial"/>
              </w:rPr>
              <w:t>Agencies shall ensure that only silver plans are selected and full premiums tax credit is taken at the time of enrollment.</w:t>
            </w:r>
          </w:p>
          <w:p w:rsidR="00271BEE" w:rsidRPr="00457B6E" w:rsidRDefault="00271BEE" w:rsidP="00271BEE">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2.1</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Documented proof of insurance and summary of benefits in PE record.</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rPr>
            </w:pPr>
            <w:r w:rsidRPr="00457B6E">
              <w:rPr>
                <w:rFonts w:cs="Arial"/>
              </w:rPr>
              <w:t>Agencies shall pay premiums, deductibles, co-insurance and/or co-pays   to consumer’s insurance carrier or health care provider.</w:t>
            </w:r>
          </w:p>
          <w:p w:rsidR="00271BEE" w:rsidRPr="00457B6E" w:rsidRDefault="00271BEE" w:rsidP="00271BEE">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2.2</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Documented proof of premium, deductible, co-insurance and co-payment amount in PE record. (itemized invoice)</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rPr>
            </w:pPr>
            <w:r w:rsidRPr="00457B6E">
              <w:rPr>
                <w:rFonts w:cs="Arial"/>
              </w:rPr>
              <w:t>Deductibles, co-insurances and/or co-pays (including co-pays for prescription eyewear) shall be for conditions related to HIV infection.</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2.3</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Where funds are used to cover deductibles, co-insurance and/or co-payments, documentation shall include a physician’s written statement that the condition is related to HIV infection and shall be included in the PE file.</w:t>
            </w:r>
          </w:p>
          <w:p w:rsidR="00271BEE" w:rsidRPr="00457B6E" w:rsidRDefault="00271BEE" w:rsidP="00271BEE">
            <w:pPr>
              <w:rPr>
                <w:rFonts w:cs="Arial"/>
              </w:rPr>
            </w:pP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rPr>
            </w:pPr>
            <w:r w:rsidRPr="00457B6E">
              <w:rPr>
                <w:rFonts w:cs="Arial"/>
              </w:rPr>
              <w:t>Agencies shall encourage all consumers receiving Health Insurance Premium services to file income tax returns and appropriate forms each year.</w:t>
            </w:r>
          </w:p>
          <w:p w:rsidR="00271BEE" w:rsidRPr="00457B6E" w:rsidRDefault="00271BEE" w:rsidP="00271BEE">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2.4</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Progress note indicates discussion of the importance of filing income tax returns. Copies of income tax returns shall be included in the PE file.</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2.5</w:t>
            </w:r>
          </w:p>
          <w:p w:rsidR="00271BEE" w:rsidRPr="00457B6E" w:rsidRDefault="00271BEE" w:rsidP="00271BEE">
            <w:pPr>
              <w:rPr>
                <w:rFonts w:cs="Arial"/>
              </w:rPr>
            </w:pPr>
          </w:p>
          <w:p w:rsidR="00271BEE" w:rsidRPr="00457B6E" w:rsidRDefault="00271BEE" w:rsidP="00271BEE">
            <w:pPr>
              <w:rPr>
                <w:rFonts w:cs="Arial"/>
              </w:rPr>
            </w:pPr>
          </w:p>
          <w:p w:rsidR="00271BEE" w:rsidRPr="00457B6E" w:rsidRDefault="00271BEE" w:rsidP="00271BEE">
            <w:pPr>
              <w:rPr>
                <w:rFonts w:cs="Arial"/>
              </w:rPr>
            </w:pP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rPr>
            </w:pPr>
            <w:r w:rsidRPr="00457B6E">
              <w:rPr>
                <w:rFonts w:cs="Arial"/>
              </w:rPr>
              <w:t>The agency shall establish and maintain a mechanism to assure that upon the consumer’s disenrollment, any unused portion of issued premium payments is reimbursed to the program.</w:t>
            </w:r>
          </w:p>
          <w:p w:rsidR="00271BEE" w:rsidRPr="00457B6E" w:rsidRDefault="00271BEE" w:rsidP="00271BEE">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2.5</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Written procedure and documentation on file.</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rPr>
            </w:pPr>
            <w:r w:rsidRPr="00457B6E">
              <w:rPr>
                <w:rFonts w:cs="Arial"/>
              </w:rPr>
              <w:t>Agencies shall ensure that consumers complete and sign the Affordable Care Act (ACA) Client Acknowledgement Form.</w:t>
            </w:r>
          </w:p>
          <w:p w:rsidR="00271BEE" w:rsidRPr="00457B6E" w:rsidRDefault="00271BEE" w:rsidP="00271BEE">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2.6</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rPr>
            </w:pPr>
            <w:r w:rsidRPr="00457B6E">
              <w:rPr>
                <w:rFonts w:cs="Arial"/>
              </w:rPr>
              <w:t>Completed and signed form in PE</w:t>
            </w:r>
          </w:p>
        </w:tc>
      </w:tr>
    </w:tbl>
    <w:p w:rsidR="00271BEE" w:rsidRPr="00271BEE" w:rsidRDefault="00271BEE" w:rsidP="00271BEE">
      <w:pPr>
        <w:spacing w:after="0" w:line="240" w:lineRule="auto"/>
        <w:jc w:val="both"/>
        <w:rPr>
          <w:rFonts w:ascii="Arial" w:hAnsi="Arial" w:cs="Arial"/>
          <w:sz w:val="24"/>
        </w:rPr>
      </w:pPr>
    </w:p>
    <w:p w:rsidR="00271BEE" w:rsidRPr="00271BEE" w:rsidRDefault="00271BEE" w:rsidP="00271BEE">
      <w:pPr>
        <w:spacing w:after="0" w:line="240" w:lineRule="auto"/>
        <w:jc w:val="both"/>
        <w:rPr>
          <w:rFonts w:ascii="Arial" w:hAnsi="Arial" w:cs="Arial"/>
          <w:sz w:val="24"/>
        </w:rPr>
      </w:pPr>
    </w:p>
    <w:p w:rsidR="00271BEE" w:rsidRPr="00271BEE" w:rsidRDefault="00271BEE" w:rsidP="00271BEE">
      <w:pPr>
        <w:rPr>
          <w:rFonts w:ascii="Arial" w:hAnsi="Arial" w:cs="Arial"/>
        </w:rPr>
      </w:pPr>
    </w:p>
    <w:p w:rsidR="00A4657E" w:rsidRDefault="00A4657E" w:rsidP="00B643CB">
      <w:pPr>
        <w:spacing w:after="0" w:line="240" w:lineRule="auto"/>
        <w:jc w:val="both"/>
        <w:rPr>
          <w:rFonts w:ascii="Arial" w:hAnsi="Arial" w:cs="Arial"/>
          <w:sz w:val="24"/>
        </w:rPr>
        <w:sectPr w:rsidR="00A4657E" w:rsidSect="00B30500">
          <w:footerReference w:type="default" r:id="rId44"/>
          <w:footerReference w:type="first" r:id="rId45"/>
          <w:pgSz w:w="12240" w:h="15840" w:code="1"/>
          <w:pgMar w:top="1296" w:right="1440" w:bottom="1296" w:left="1440" w:header="720" w:footer="432" w:gutter="0"/>
          <w:cols w:space="720"/>
          <w:titlePg/>
          <w:docGrid w:linePitch="360"/>
        </w:sectPr>
      </w:pPr>
    </w:p>
    <w:tbl>
      <w:tblPr>
        <w:tblStyle w:val="TableGrid"/>
        <w:tblW w:w="0" w:type="auto"/>
        <w:shd w:val="clear" w:color="auto" w:fill="17365D" w:themeFill="text2" w:themeFillShade="BF"/>
        <w:tblLook w:val="04A0" w:firstRow="1" w:lastRow="0" w:firstColumn="1" w:lastColumn="0" w:noHBand="0" w:noVBand="1"/>
      </w:tblPr>
      <w:tblGrid>
        <w:gridCol w:w="9576"/>
      </w:tblGrid>
      <w:tr w:rsidR="00A4657E" w:rsidTr="007B4017">
        <w:tc>
          <w:tcPr>
            <w:tcW w:w="9576" w:type="dxa"/>
            <w:tcBorders>
              <w:bottom w:val="nil"/>
            </w:tcBorders>
            <w:shd w:val="clear" w:color="auto" w:fill="17365D" w:themeFill="text2" w:themeFillShade="BF"/>
          </w:tcPr>
          <w:p w:rsidR="00A4657E" w:rsidRPr="00304877" w:rsidRDefault="00A4657E" w:rsidP="008E7A5D">
            <w:pPr>
              <w:pStyle w:val="Heading2"/>
              <w:spacing w:before="0"/>
              <w:jc w:val="center"/>
              <w:outlineLvl w:val="1"/>
            </w:pPr>
            <w:bookmarkStart w:id="43" w:name="_Mental_Health"/>
            <w:bookmarkStart w:id="44" w:name="_Toc489280887"/>
            <w:bookmarkEnd w:id="43"/>
            <w:r w:rsidRPr="008E7A5D">
              <w:rPr>
                <w:color w:val="FFFFFF" w:themeColor="background1"/>
                <w:sz w:val="32"/>
              </w:rPr>
              <w:lastRenderedPageBreak/>
              <w:t>Mental Health</w:t>
            </w:r>
            <w:bookmarkEnd w:id="44"/>
          </w:p>
        </w:tc>
      </w:tr>
    </w:tbl>
    <w:p w:rsidR="00AB12FA" w:rsidRDefault="00AB12FA" w:rsidP="00AB12FA">
      <w:pPr>
        <w:spacing w:after="0"/>
      </w:pPr>
    </w:p>
    <w:tbl>
      <w:tblPr>
        <w:tblStyle w:val="TableGrid"/>
        <w:tblW w:w="0" w:type="auto"/>
        <w:tblLook w:val="04A0" w:firstRow="1" w:lastRow="0" w:firstColumn="1" w:lastColumn="0" w:noHBand="0" w:noVBand="1"/>
      </w:tblPr>
      <w:tblGrid>
        <w:gridCol w:w="9576"/>
      </w:tblGrid>
      <w:tr w:rsidR="007B4017" w:rsidTr="007B4017">
        <w:tc>
          <w:tcPr>
            <w:tcW w:w="9576" w:type="dxa"/>
            <w:tcBorders>
              <w:top w:val="nil"/>
              <w:left w:val="nil"/>
              <w:bottom w:val="nil"/>
              <w:right w:val="nil"/>
            </w:tcBorders>
          </w:tcPr>
          <w:p w:rsidR="007B4017" w:rsidRDefault="007B4017" w:rsidP="00AB12FA">
            <w:pPr>
              <w:rPr>
                <w:rFonts w:cs="Arial"/>
              </w:rPr>
            </w:pPr>
            <w:r w:rsidRPr="00271BEE">
              <w:rPr>
                <w:rFonts w:cs="Arial"/>
                <w:b/>
              </w:rPr>
              <w:t>Definition</w:t>
            </w:r>
            <w:r w:rsidRPr="00271BEE">
              <w:rPr>
                <w:rFonts w:cs="Arial"/>
              </w:rPr>
              <w:t xml:space="preserve">: </w:t>
            </w:r>
          </w:p>
          <w:p w:rsidR="007B4017" w:rsidRPr="00271BEE" w:rsidRDefault="007B4017" w:rsidP="007B4017">
            <w:pPr>
              <w:rPr>
                <w:rFonts w:cs="Arial"/>
              </w:rPr>
            </w:pPr>
            <w:r w:rsidRPr="00271BEE">
              <w:rPr>
                <w:rFonts w:cs="Arial"/>
              </w:rPr>
              <w:t>Mental health services are the provision of outpatient psychological and psychiatric screening, assessment, diagnosis, treatment and counseling services offered to consumers living with HIV. Services are based on a treatment plan, conducted in an outpatient group or individual session, and provided by a mental health professional licensed or authorized within the State to render such services. Such professionals typically include psychiatrists, psychologists, and licensed clinical social workers.</w:t>
            </w:r>
          </w:p>
          <w:p w:rsidR="007B4017" w:rsidRPr="00271BEE" w:rsidRDefault="007B4017" w:rsidP="007B4017">
            <w:pPr>
              <w:spacing w:before="240"/>
              <w:rPr>
                <w:rFonts w:cs="Arial"/>
              </w:rPr>
            </w:pPr>
            <w:r w:rsidRPr="00271BEE">
              <w:rPr>
                <w:rFonts w:cs="Arial"/>
              </w:rPr>
              <w:t>In Florida, mental health professionals, licensed or authorized include Licensed Mental Health Counselors, Licensed Marriage and Family Therapists, Psychiatrists, Psychologists, and Licensed Clinical Social Workers.</w:t>
            </w:r>
          </w:p>
          <w:p w:rsidR="007B4017" w:rsidRPr="00271BEE" w:rsidRDefault="007B4017" w:rsidP="007B4017">
            <w:pPr>
              <w:spacing w:before="240"/>
              <w:rPr>
                <w:rFonts w:cs="Arial"/>
              </w:rPr>
            </w:pPr>
            <w:r w:rsidRPr="00271BEE">
              <w:rPr>
                <w:rFonts w:cs="Arial"/>
              </w:rPr>
              <w:t>This service offers psychological treatment and counseling services, including individuals, group, case consultations, assessments, crisis intervention counseling and psychiatric assessment and treatment provided by state licensed Psychiatrists, mental health professionals and or Master’s prepared or Master’s level clinical interns directly supervised by a licensed therapist.</w:t>
            </w:r>
          </w:p>
          <w:p w:rsidR="007B4017" w:rsidRPr="00271BEE" w:rsidRDefault="007B4017" w:rsidP="007B4017">
            <w:pPr>
              <w:rPr>
                <w:rFonts w:cs="Arial"/>
              </w:rPr>
            </w:pPr>
          </w:p>
          <w:p w:rsidR="007B4017" w:rsidRDefault="007B4017" w:rsidP="007B4017">
            <w:pPr>
              <w:rPr>
                <w:rFonts w:cs="Arial"/>
              </w:rPr>
            </w:pPr>
            <w:r w:rsidRPr="00271BEE">
              <w:rPr>
                <w:rFonts w:cs="Arial"/>
                <w:b/>
              </w:rPr>
              <w:t>Eligibility</w:t>
            </w:r>
            <w:r w:rsidRPr="00271BEE">
              <w:rPr>
                <w:rFonts w:cs="Arial"/>
              </w:rPr>
              <w:t xml:space="preserve">: </w:t>
            </w:r>
          </w:p>
          <w:p w:rsidR="007B4017" w:rsidRDefault="007B4017" w:rsidP="00AB12FA">
            <w:pPr>
              <w:rPr>
                <w:rFonts w:cs="Arial"/>
                <w:b/>
              </w:rPr>
            </w:pPr>
            <w:r w:rsidRPr="00271BEE">
              <w:rPr>
                <w:rFonts w:cs="Arial"/>
              </w:rPr>
              <w:t>Consumers must meet eligibility as specified in the System-Wide Standard of Care.</w:t>
            </w:r>
          </w:p>
        </w:tc>
      </w:tr>
    </w:tbl>
    <w:p w:rsidR="00271BEE" w:rsidRDefault="00271BEE" w:rsidP="007B4017">
      <w:pPr>
        <w:spacing w:after="0"/>
        <w:rPr>
          <w:rFonts w:ascii="Arial" w:hAnsi="Arial" w:cs="Arial"/>
          <w:sz w:val="24"/>
        </w:rPr>
      </w:pPr>
    </w:p>
    <w:tbl>
      <w:tblPr>
        <w:tblStyle w:val="TableGrid9"/>
        <w:tblW w:w="0" w:type="auto"/>
        <w:tblLook w:val="04A0" w:firstRow="1" w:lastRow="0" w:firstColumn="1" w:lastColumn="0" w:noHBand="0" w:noVBand="1"/>
      </w:tblPr>
      <w:tblGrid>
        <w:gridCol w:w="9576"/>
      </w:tblGrid>
      <w:tr w:rsidR="00304877" w:rsidRPr="00304877" w:rsidTr="00AB12FA">
        <w:tc>
          <w:tcPr>
            <w:tcW w:w="9576" w:type="dxa"/>
            <w:tcBorders>
              <w:top w:val="single" w:sz="12" w:space="0" w:color="auto"/>
              <w:left w:val="nil"/>
              <w:bottom w:val="single" w:sz="4" w:space="0" w:color="auto"/>
              <w:right w:val="nil"/>
            </w:tcBorders>
          </w:tcPr>
          <w:p w:rsidR="00304877" w:rsidRPr="00304877" w:rsidRDefault="00304877" w:rsidP="008E7A5D">
            <w:pPr>
              <w:pStyle w:val="Heading3"/>
              <w:spacing w:before="0"/>
              <w:outlineLvl w:val="2"/>
              <w:rPr>
                <w:sz w:val="36"/>
              </w:rPr>
            </w:pPr>
            <w:bookmarkStart w:id="45" w:name="_Toc489280888"/>
            <w:r w:rsidRPr="008E7A5D">
              <w:rPr>
                <w:sz w:val="28"/>
              </w:rPr>
              <w:t>1.0 Employment Standards</w:t>
            </w:r>
            <w:bookmarkEnd w:id="45"/>
          </w:p>
        </w:tc>
      </w:tr>
    </w:tbl>
    <w:p w:rsidR="00AB12FA" w:rsidRDefault="00AB12FA" w:rsidP="00AB12FA">
      <w:pPr>
        <w:spacing w:after="0"/>
      </w:pPr>
    </w:p>
    <w:tbl>
      <w:tblPr>
        <w:tblStyle w:val="TableGrid"/>
        <w:tblW w:w="0" w:type="auto"/>
        <w:tblLook w:val="04A0" w:firstRow="1" w:lastRow="0" w:firstColumn="1" w:lastColumn="0" w:noHBand="0" w:noVBand="1"/>
      </w:tblPr>
      <w:tblGrid>
        <w:gridCol w:w="9576"/>
      </w:tblGrid>
      <w:tr w:rsidR="007B4017" w:rsidTr="007B4017">
        <w:tc>
          <w:tcPr>
            <w:tcW w:w="9576" w:type="dxa"/>
            <w:tcBorders>
              <w:top w:val="nil"/>
              <w:left w:val="nil"/>
              <w:bottom w:val="nil"/>
              <w:right w:val="nil"/>
            </w:tcBorders>
          </w:tcPr>
          <w:p w:rsidR="007B4017" w:rsidRDefault="007B4017" w:rsidP="00AB12FA">
            <w:pPr>
              <w:rPr>
                <w:rFonts w:cs="Arial"/>
              </w:rPr>
            </w:pPr>
            <w:r w:rsidRPr="00271BEE">
              <w:rPr>
                <w:rFonts w:cs="Arial"/>
              </w:rPr>
              <w:t>Agencies providing Mental Health services shall ensure the following employment requirements are met.</w:t>
            </w:r>
          </w:p>
        </w:tc>
      </w:tr>
    </w:tbl>
    <w:p w:rsidR="00271BEE" w:rsidRPr="00271BEE" w:rsidRDefault="00271BEE" w:rsidP="00271BEE">
      <w:pPr>
        <w:spacing w:after="0" w:line="240" w:lineRule="auto"/>
        <w:rPr>
          <w:rFonts w:ascii="Arial" w:hAnsi="Arial" w:cs="Arial"/>
          <w:sz w:val="24"/>
        </w:rPr>
      </w:pPr>
    </w:p>
    <w:tbl>
      <w:tblPr>
        <w:tblStyle w:val="TableGrid10"/>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271BEE" w:rsidRPr="00271BEE" w:rsidTr="008E7A5D">
        <w:trPr>
          <w:trHeight w:hRule="exact" w:val="333"/>
        </w:trPr>
        <w:tc>
          <w:tcPr>
            <w:tcW w:w="9558" w:type="dxa"/>
            <w:gridSpan w:val="4"/>
            <w:shd w:val="clear" w:color="auto" w:fill="17365D" w:themeFill="text2" w:themeFillShade="BF"/>
          </w:tcPr>
          <w:p w:rsidR="00271BEE" w:rsidRPr="00271BEE" w:rsidRDefault="00271BEE" w:rsidP="00304877">
            <w:pPr>
              <w:pStyle w:val="Heading4"/>
              <w:spacing w:before="0"/>
              <w:outlineLvl w:val="3"/>
            </w:pPr>
            <w:r w:rsidRPr="00304877">
              <w:rPr>
                <w:color w:val="FFFFFF" w:themeColor="background1"/>
                <w:sz w:val="28"/>
              </w:rPr>
              <w:t>1.0 Policies and Procedures</w:t>
            </w:r>
          </w:p>
        </w:tc>
      </w:tr>
      <w:tr w:rsidR="00304877" w:rsidRPr="00271BEE" w:rsidTr="00304877">
        <w:trPr>
          <w:trHeight w:hRule="exact" w:val="288"/>
        </w:trPr>
        <w:tc>
          <w:tcPr>
            <w:tcW w:w="4896" w:type="dxa"/>
            <w:gridSpan w:val="2"/>
            <w:vAlign w:val="center"/>
          </w:tcPr>
          <w:p w:rsidR="00304877" w:rsidRPr="00271BEE" w:rsidRDefault="00304877" w:rsidP="00271BEE">
            <w:pPr>
              <w:jc w:val="center"/>
              <w:rPr>
                <w:rFonts w:cs="Arial"/>
                <w:b/>
                <w:sz w:val="28"/>
                <w:szCs w:val="24"/>
              </w:rPr>
            </w:pPr>
          </w:p>
        </w:tc>
        <w:tc>
          <w:tcPr>
            <w:tcW w:w="4662" w:type="dxa"/>
            <w:gridSpan w:val="2"/>
            <w:vAlign w:val="center"/>
          </w:tcPr>
          <w:p w:rsidR="00304877" w:rsidRPr="00271BEE" w:rsidRDefault="00304877" w:rsidP="00271BEE">
            <w:pPr>
              <w:jc w:val="center"/>
              <w:rPr>
                <w:rFonts w:cs="Arial"/>
                <w:b/>
                <w:sz w:val="28"/>
                <w:szCs w:val="24"/>
              </w:rPr>
            </w:pPr>
          </w:p>
        </w:tc>
      </w:tr>
      <w:tr w:rsidR="00271BEE" w:rsidRPr="00271BEE" w:rsidTr="00304877">
        <w:trPr>
          <w:trHeight w:hRule="exact" w:val="288"/>
        </w:trPr>
        <w:tc>
          <w:tcPr>
            <w:tcW w:w="4896" w:type="dxa"/>
            <w:gridSpan w:val="2"/>
            <w:tcBorders>
              <w:bottom w:val="single" w:sz="12" w:space="0" w:color="17365D" w:themeColor="text2" w:themeShade="BF"/>
              <w:right w:val="single" w:sz="12" w:space="0" w:color="17365D" w:themeColor="text2" w:themeShade="BF"/>
            </w:tcBorders>
            <w:vAlign w:val="center"/>
          </w:tcPr>
          <w:p w:rsidR="00271BEE" w:rsidRPr="00457B6E" w:rsidRDefault="00271BEE" w:rsidP="00271BEE">
            <w:pPr>
              <w:jc w:val="center"/>
              <w:rPr>
                <w:rStyle w:val="BookTitle"/>
              </w:rPr>
            </w:pPr>
            <w:r w:rsidRPr="00457B6E">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271BEE" w:rsidRPr="00457B6E" w:rsidRDefault="00271BEE" w:rsidP="00271BEE">
            <w:pPr>
              <w:jc w:val="center"/>
              <w:rPr>
                <w:rStyle w:val="BookTitle"/>
              </w:rPr>
            </w:pPr>
            <w:r w:rsidRPr="00457B6E">
              <w:rPr>
                <w:rStyle w:val="BookTitle"/>
              </w:rPr>
              <w:t>Measures</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szCs w:val="24"/>
              </w:rPr>
            </w:pPr>
            <w:r w:rsidRPr="00457B6E">
              <w:rPr>
                <w:rFonts w:cs="Arial"/>
                <w:szCs w:val="24"/>
              </w:rPr>
              <w:t>Agencies shall comply with Florida State Statutes 490 and 491</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1.1</w:t>
            </w:r>
          </w:p>
        </w:tc>
        <w:tc>
          <w:tcPr>
            <w:tcW w:w="3960" w:type="dxa"/>
            <w:tcBorders>
              <w:top w:val="single" w:sz="12" w:space="0" w:color="17365D" w:themeColor="text2" w:themeShade="BF"/>
              <w:bottom w:val="single" w:sz="12" w:space="0" w:color="17365D" w:themeColor="text2" w:themeShade="BF"/>
            </w:tcBorders>
          </w:tcPr>
          <w:p w:rsidR="00271BEE" w:rsidRDefault="00271BEE" w:rsidP="00271BEE">
            <w:pPr>
              <w:rPr>
                <w:rFonts w:cs="Arial"/>
                <w:szCs w:val="24"/>
              </w:rPr>
            </w:pPr>
            <w:r w:rsidRPr="00457B6E">
              <w:rPr>
                <w:rFonts w:cs="Arial"/>
                <w:szCs w:val="24"/>
              </w:rPr>
              <w:t>Current license(s) are on file a provider agency.</w:t>
            </w:r>
          </w:p>
          <w:p w:rsidR="00457B6E" w:rsidRPr="00457B6E" w:rsidRDefault="00457B6E" w:rsidP="00271BEE">
            <w:pPr>
              <w:rPr>
                <w:rFonts w:cs="Arial"/>
                <w:szCs w:val="24"/>
              </w:rPr>
            </w:pPr>
          </w:p>
        </w:tc>
      </w:tr>
    </w:tbl>
    <w:p w:rsidR="00AB12FA" w:rsidRDefault="00AB12FA" w:rsidP="00AB12FA">
      <w:pPr>
        <w:spacing w:after="0"/>
      </w:pPr>
    </w:p>
    <w:tbl>
      <w:tblPr>
        <w:tblStyle w:val="TableGrid9"/>
        <w:tblW w:w="0" w:type="auto"/>
        <w:tblLook w:val="04A0" w:firstRow="1" w:lastRow="0" w:firstColumn="1" w:lastColumn="0" w:noHBand="0" w:noVBand="1"/>
      </w:tblPr>
      <w:tblGrid>
        <w:gridCol w:w="9576"/>
      </w:tblGrid>
      <w:tr w:rsidR="00C27ED1" w:rsidRPr="00304877" w:rsidTr="00AB12FA">
        <w:tc>
          <w:tcPr>
            <w:tcW w:w="9576" w:type="dxa"/>
            <w:tcBorders>
              <w:top w:val="single" w:sz="12" w:space="0" w:color="auto"/>
              <w:left w:val="nil"/>
              <w:bottom w:val="single" w:sz="4" w:space="0" w:color="auto"/>
              <w:right w:val="nil"/>
            </w:tcBorders>
          </w:tcPr>
          <w:p w:rsidR="00C27ED1" w:rsidRPr="00304877" w:rsidRDefault="00C27ED1" w:rsidP="008E7A5D">
            <w:pPr>
              <w:pStyle w:val="Heading3"/>
              <w:spacing w:before="0"/>
              <w:outlineLvl w:val="2"/>
              <w:rPr>
                <w:sz w:val="36"/>
              </w:rPr>
            </w:pPr>
            <w:bookmarkStart w:id="46" w:name="_Toc489280889"/>
            <w:r w:rsidRPr="008E7A5D">
              <w:rPr>
                <w:sz w:val="28"/>
              </w:rPr>
              <w:t>2.0 Scope of Service</w:t>
            </w:r>
            <w:bookmarkEnd w:id="46"/>
          </w:p>
        </w:tc>
      </w:tr>
    </w:tbl>
    <w:p w:rsidR="00AB12FA" w:rsidRDefault="00AB12FA" w:rsidP="00AB12FA">
      <w:pPr>
        <w:spacing w:after="0"/>
      </w:pPr>
    </w:p>
    <w:tbl>
      <w:tblPr>
        <w:tblStyle w:val="TableGrid"/>
        <w:tblW w:w="0" w:type="auto"/>
        <w:tblLook w:val="04A0" w:firstRow="1" w:lastRow="0" w:firstColumn="1" w:lastColumn="0" w:noHBand="0" w:noVBand="1"/>
      </w:tblPr>
      <w:tblGrid>
        <w:gridCol w:w="9576"/>
      </w:tblGrid>
      <w:tr w:rsidR="007B4017" w:rsidTr="007B4017">
        <w:tc>
          <w:tcPr>
            <w:tcW w:w="9576" w:type="dxa"/>
            <w:tcBorders>
              <w:top w:val="nil"/>
              <w:left w:val="nil"/>
              <w:bottom w:val="nil"/>
              <w:right w:val="nil"/>
            </w:tcBorders>
          </w:tcPr>
          <w:p w:rsidR="007B4017" w:rsidRDefault="007B4017" w:rsidP="00AB12FA">
            <w:pPr>
              <w:rPr>
                <w:rFonts w:cs="Arial"/>
              </w:rPr>
            </w:pPr>
            <w:r w:rsidRPr="00271BEE">
              <w:rPr>
                <w:rFonts w:cs="Arial"/>
              </w:rPr>
              <w:t>Agencies providing Mental Health services shall comply with all requirements outlined below.</w:t>
            </w:r>
          </w:p>
        </w:tc>
      </w:tr>
    </w:tbl>
    <w:p w:rsidR="00271BEE" w:rsidRPr="00271BEE" w:rsidRDefault="00271BEE" w:rsidP="00271BEE">
      <w:pPr>
        <w:spacing w:after="0" w:line="240" w:lineRule="auto"/>
        <w:rPr>
          <w:rFonts w:ascii="Arial" w:hAnsi="Arial" w:cs="Arial"/>
          <w:sz w:val="24"/>
        </w:rPr>
      </w:pPr>
    </w:p>
    <w:tbl>
      <w:tblPr>
        <w:tblStyle w:val="TableGrid10"/>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271BEE" w:rsidRPr="00271BEE" w:rsidTr="008E7A5D">
        <w:trPr>
          <w:trHeight w:hRule="exact" w:val="351"/>
        </w:trPr>
        <w:tc>
          <w:tcPr>
            <w:tcW w:w="9558" w:type="dxa"/>
            <w:gridSpan w:val="4"/>
            <w:shd w:val="clear" w:color="auto" w:fill="17365D" w:themeFill="text2" w:themeFillShade="BF"/>
          </w:tcPr>
          <w:p w:rsidR="00271BEE" w:rsidRPr="00271BEE" w:rsidRDefault="008E7A5D" w:rsidP="00C27ED1">
            <w:pPr>
              <w:pStyle w:val="Heading4"/>
              <w:spacing w:before="0"/>
              <w:outlineLvl w:val="3"/>
            </w:pPr>
            <w:r w:rsidRPr="00C27ED1">
              <w:rPr>
                <w:color w:val="FFFFFF" w:themeColor="background1"/>
                <w:sz w:val="28"/>
              </w:rPr>
              <w:t>2.0 Scope</w:t>
            </w:r>
            <w:r w:rsidR="00271BEE" w:rsidRPr="00C27ED1">
              <w:rPr>
                <w:color w:val="FFFFFF" w:themeColor="background1"/>
                <w:sz w:val="28"/>
              </w:rPr>
              <w:t xml:space="preserve"> of Service</w:t>
            </w:r>
          </w:p>
        </w:tc>
      </w:tr>
      <w:tr w:rsidR="00C27ED1" w:rsidRPr="00271BEE" w:rsidTr="00C27ED1">
        <w:trPr>
          <w:trHeight w:hRule="exact" w:val="288"/>
        </w:trPr>
        <w:tc>
          <w:tcPr>
            <w:tcW w:w="4896" w:type="dxa"/>
            <w:gridSpan w:val="2"/>
            <w:vAlign w:val="center"/>
          </w:tcPr>
          <w:p w:rsidR="00C27ED1" w:rsidRPr="00271BEE" w:rsidRDefault="00C27ED1" w:rsidP="00271BEE">
            <w:pPr>
              <w:jc w:val="center"/>
              <w:rPr>
                <w:rFonts w:cs="Arial"/>
                <w:b/>
                <w:sz w:val="28"/>
                <w:szCs w:val="24"/>
              </w:rPr>
            </w:pPr>
          </w:p>
        </w:tc>
        <w:tc>
          <w:tcPr>
            <w:tcW w:w="4662" w:type="dxa"/>
            <w:gridSpan w:val="2"/>
            <w:vAlign w:val="center"/>
          </w:tcPr>
          <w:p w:rsidR="00C27ED1" w:rsidRPr="00271BEE" w:rsidRDefault="00C27ED1" w:rsidP="00271BEE">
            <w:pPr>
              <w:jc w:val="center"/>
              <w:rPr>
                <w:rFonts w:cs="Arial"/>
                <w:b/>
                <w:sz w:val="28"/>
                <w:szCs w:val="24"/>
              </w:rPr>
            </w:pPr>
          </w:p>
        </w:tc>
      </w:tr>
      <w:tr w:rsidR="00271BEE" w:rsidRPr="00271BEE" w:rsidTr="00C27ED1">
        <w:trPr>
          <w:trHeight w:hRule="exact" w:val="288"/>
        </w:trPr>
        <w:tc>
          <w:tcPr>
            <w:tcW w:w="4896" w:type="dxa"/>
            <w:gridSpan w:val="2"/>
            <w:tcBorders>
              <w:bottom w:val="single" w:sz="12" w:space="0" w:color="17365D" w:themeColor="text2" w:themeShade="BF"/>
              <w:right w:val="single" w:sz="12" w:space="0" w:color="17365D" w:themeColor="text2" w:themeShade="BF"/>
            </w:tcBorders>
            <w:vAlign w:val="center"/>
          </w:tcPr>
          <w:p w:rsidR="00271BEE" w:rsidRPr="00457B6E" w:rsidRDefault="00271BEE" w:rsidP="00271BEE">
            <w:pPr>
              <w:jc w:val="center"/>
              <w:rPr>
                <w:rStyle w:val="BookTitle"/>
              </w:rPr>
            </w:pPr>
            <w:r w:rsidRPr="00457B6E">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271BEE" w:rsidRPr="00457B6E" w:rsidRDefault="00271BEE" w:rsidP="00271BEE">
            <w:pPr>
              <w:jc w:val="center"/>
              <w:rPr>
                <w:rStyle w:val="BookTitle"/>
              </w:rPr>
            </w:pPr>
            <w:r w:rsidRPr="00457B6E">
              <w:rPr>
                <w:rStyle w:val="BookTitle"/>
              </w:rPr>
              <w:t>Measures</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2.1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szCs w:val="22"/>
              </w:rPr>
            </w:pPr>
            <w:r w:rsidRPr="00457B6E">
              <w:rPr>
                <w:rFonts w:cs="Arial"/>
                <w:szCs w:val="22"/>
              </w:rPr>
              <w:t>Mental Health services include the following:</w:t>
            </w:r>
          </w:p>
          <w:p w:rsidR="00271BEE" w:rsidRPr="00457B6E" w:rsidRDefault="00271BEE" w:rsidP="001B1B43">
            <w:pPr>
              <w:pStyle w:val="ListParagraph"/>
              <w:numPr>
                <w:ilvl w:val="0"/>
                <w:numId w:val="50"/>
              </w:numPr>
              <w:rPr>
                <w:rFonts w:cs="Arial"/>
                <w:szCs w:val="22"/>
              </w:rPr>
            </w:pPr>
            <w:r w:rsidRPr="00457B6E">
              <w:rPr>
                <w:rFonts w:cs="Arial"/>
                <w:szCs w:val="22"/>
              </w:rPr>
              <w:lastRenderedPageBreak/>
              <w:t>Biopsychosocial Assessments;</w:t>
            </w:r>
          </w:p>
          <w:p w:rsidR="00271BEE" w:rsidRPr="00457B6E" w:rsidRDefault="00271BEE" w:rsidP="001B1B43">
            <w:pPr>
              <w:pStyle w:val="ListParagraph"/>
              <w:numPr>
                <w:ilvl w:val="0"/>
                <w:numId w:val="50"/>
              </w:numPr>
              <w:rPr>
                <w:rFonts w:cs="Arial"/>
                <w:szCs w:val="22"/>
              </w:rPr>
            </w:pPr>
            <w:r w:rsidRPr="00457B6E">
              <w:rPr>
                <w:rFonts w:cs="Arial"/>
                <w:szCs w:val="22"/>
              </w:rPr>
              <w:t>Treatment Plan Development;</w:t>
            </w:r>
          </w:p>
          <w:p w:rsidR="00271BEE" w:rsidRPr="00457B6E" w:rsidRDefault="00271BEE" w:rsidP="001B1B43">
            <w:pPr>
              <w:pStyle w:val="ListParagraph"/>
              <w:numPr>
                <w:ilvl w:val="0"/>
                <w:numId w:val="50"/>
              </w:numPr>
              <w:rPr>
                <w:rFonts w:cs="Arial"/>
                <w:szCs w:val="22"/>
              </w:rPr>
            </w:pPr>
            <w:r w:rsidRPr="00457B6E">
              <w:rPr>
                <w:rFonts w:cs="Arial"/>
                <w:szCs w:val="22"/>
              </w:rPr>
              <w:t>Treatment Plan/ Review;</w:t>
            </w:r>
          </w:p>
          <w:p w:rsidR="00271BEE" w:rsidRPr="00457B6E" w:rsidRDefault="00271BEE" w:rsidP="001B1B43">
            <w:pPr>
              <w:pStyle w:val="ListParagraph"/>
              <w:numPr>
                <w:ilvl w:val="0"/>
                <w:numId w:val="50"/>
              </w:numPr>
              <w:rPr>
                <w:rFonts w:cs="Arial"/>
                <w:szCs w:val="22"/>
              </w:rPr>
            </w:pPr>
            <w:r w:rsidRPr="00457B6E">
              <w:rPr>
                <w:rFonts w:cs="Arial"/>
                <w:szCs w:val="22"/>
              </w:rPr>
              <w:t>Urine Drug Screening;</w:t>
            </w:r>
          </w:p>
          <w:p w:rsidR="00271BEE" w:rsidRPr="00457B6E" w:rsidRDefault="00271BEE" w:rsidP="001B1B43">
            <w:pPr>
              <w:pStyle w:val="ListParagraph"/>
              <w:numPr>
                <w:ilvl w:val="0"/>
                <w:numId w:val="50"/>
              </w:numPr>
              <w:rPr>
                <w:rFonts w:cs="Arial"/>
                <w:szCs w:val="22"/>
              </w:rPr>
            </w:pPr>
            <w:r w:rsidRPr="00457B6E">
              <w:rPr>
                <w:rFonts w:cs="Arial"/>
                <w:szCs w:val="22"/>
              </w:rPr>
              <w:t>Psychotherapeutic Treatment to Include:</w:t>
            </w:r>
          </w:p>
          <w:p w:rsidR="00271BEE" w:rsidRPr="00457B6E" w:rsidRDefault="00271BEE" w:rsidP="001B1B43">
            <w:pPr>
              <w:pStyle w:val="ListParagraph"/>
              <w:numPr>
                <w:ilvl w:val="1"/>
                <w:numId w:val="50"/>
              </w:numPr>
              <w:rPr>
                <w:rFonts w:cs="Arial"/>
                <w:szCs w:val="22"/>
              </w:rPr>
            </w:pPr>
            <w:r w:rsidRPr="00457B6E">
              <w:rPr>
                <w:rFonts w:cs="Arial"/>
                <w:szCs w:val="22"/>
              </w:rPr>
              <w:t>Individual Sessions,</w:t>
            </w:r>
          </w:p>
          <w:p w:rsidR="00271BEE" w:rsidRPr="00457B6E" w:rsidRDefault="00271BEE" w:rsidP="001B1B43">
            <w:pPr>
              <w:pStyle w:val="ListParagraph"/>
              <w:numPr>
                <w:ilvl w:val="1"/>
                <w:numId w:val="50"/>
              </w:numPr>
              <w:rPr>
                <w:rFonts w:cs="Arial"/>
                <w:szCs w:val="22"/>
              </w:rPr>
            </w:pPr>
            <w:r w:rsidRPr="00457B6E">
              <w:rPr>
                <w:rFonts w:cs="Arial"/>
                <w:szCs w:val="22"/>
              </w:rPr>
              <w:t>Group Sessions, and</w:t>
            </w:r>
          </w:p>
          <w:p w:rsidR="00271BEE" w:rsidRPr="00457B6E" w:rsidRDefault="00271BEE" w:rsidP="001B1B43">
            <w:pPr>
              <w:pStyle w:val="ListParagraph"/>
              <w:numPr>
                <w:ilvl w:val="1"/>
                <w:numId w:val="50"/>
              </w:numPr>
              <w:rPr>
                <w:rFonts w:cs="Arial"/>
                <w:szCs w:val="22"/>
              </w:rPr>
            </w:pPr>
            <w:r w:rsidRPr="00457B6E">
              <w:rPr>
                <w:rFonts w:cs="Arial"/>
                <w:szCs w:val="22"/>
              </w:rPr>
              <w:t>Case Consultations;</w:t>
            </w:r>
          </w:p>
          <w:p w:rsidR="00271BEE" w:rsidRPr="00457B6E" w:rsidRDefault="00271BEE" w:rsidP="001B1B43">
            <w:pPr>
              <w:pStyle w:val="ListParagraph"/>
              <w:numPr>
                <w:ilvl w:val="0"/>
                <w:numId w:val="50"/>
              </w:numPr>
              <w:rPr>
                <w:rFonts w:cs="Arial"/>
                <w:szCs w:val="22"/>
              </w:rPr>
            </w:pPr>
            <w:r w:rsidRPr="00457B6E">
              <w:rPr>
                <w:rFonts w:cs="Arial"/>
                <w:szCs w:val="22"/>
              </w:rPr>
              <w:t>Crisis Intervention;</w:t>
            </w:r>
          </w:p>
          <w:p w:rsidR="00271BEE" w:rsidRPr="00457B6E" w:rsidRDefault="00271BEE" w:rsidP="001B1B43">
            <w:pPr>
              <w:pStyle w:val="ListParagraph"/>
              <w:numPr>
                <w:ilvl w:val="0"/>
                <w:numId w:val="50"/>
              </w:numPr>
              <w:rPr>
                <w:rFonts w:cs="Arial"/>
                <w:szCs w:val="22"/>
              </w:rPr>
            </w:pPr>
            <w:r w:rsidRPr="00457B6E">
              <w:rPr>
                <w:rFonts w:cs="Arial"/>
                <w:szCs w:val="22"/>
              </w:rPr>
              <w:t>Psychiatric Assessment and Treatment; and,</w:t>
            </w:r>
          </w:p>
          <w:p w:rsidR="00271BEE" w:rsidRPr="00457B6E" w:rsidRDefault="00271BEE" w:rsidP="001B1B43">
            <w:pPr>
              <w:pStyle w:val="ListParagraph"/>
              <w:numPr>
                <w:ilvl w:val="0"/>
                <w:numId w:val="50"/>
              </w:numPr>
              <w:rPr>
                <w:rFonts w:cs="Arial"/>
                <w:szCs w:val="22"/>
              </w:rPr>
            </w:pPr>
            <w:r w:rsidRPr="00457B6E">
              <w:rPr>
                <w:rFonts w:cs="Arial"/>
                <w:szCs w:val="22"/>
              </w:rPr>
              <w:t>Other Services as Deemed Clinically Appropriate.</w:t>
            </w:r>
          </w:p>
          <w:p w:rsidR="00271BEE" w:rsidRPr="00457B6E" w:rsidRDefault="00271BEE" w:rsidP="00271BEE">
            <w:pPr>
              <w:pStyle w:val="ListParagraph"/>
              <w:rPr>
                <w:rFonts w:cs="Arial"/>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lastRenderedPageBreak/>
              <w:t>2.1</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Documentation in consumer clinical record.</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lastRenderedPageBreak/>
              <w:t>2.2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szCs w:val="22"/>
              </w:rPr>
            </w:pPr>
            <w:r w:rsidRPr="00457B6E">
              <w:rPr>
                <w:rFonts w:cs="Arial"/>
                <w:szCs w:val="22"/>
              </w:rPr>
              <w:t>Biopsychosocial assessment should be completed within two visits, but no longer than 30 days. Biopsychosocial assessment will include at a minimum:</w:t>
            </w:r>
          </w:p>
          <w:p w:rsidR="00271BEE" w:rsidRPr="00457B6E" w:rsidRDefault="00271BEE" w:rsidP="001B1B43">
            <w:pPr>
              <w:pStyle w:val="ListParagraph"/>
              <w:numPr>
                <w:ilvl w:val="0"/>
                <w:numId w:val="51"/>
              </w:numPr>
              <w:rPr>
                <w:rFonts w:cs="Arial"/>
                <w:szCs w:val="22"/>
              </w:rPr>
            </w:pPr>
            <w:r w:rsidRPr="00457B6E">
              <w:rPr>
                <w:rFonts w:cs="Arial"/>
                <w:szCs w:val="22"/>
              </w:rPr>
              <w:t>Presenting problem</w:t>
            </w:r>
          </w:p>
          <w:p w:rsidR="00271BEE" w:rsidRPr="00457B6E" w:rsidRDefault="00271BEE" w:rsidP="001B1B43">
            <w:pPr>
              <w:pStyle w:val="ListParagraph"/>
              <w:numPr>
                <w:ilvl w:val="0"/>
                <w:numId w:val="51"/>
              </w:numPr>
              <w:rPr>
                <w:rFonts w:cs="Arial"/>
                <w:szCs w:val="22"/>
              </w:rPr>
            </w:pPr>
            <w:r w:rsidRPr="00457B6E">
              <w:rPr>
                <w:rFonts w:cs="Arial"/>
                <w:szCs w:val="22"/>
              </w:rPr>
              <w:t>History of the presenting illness or problem</w:t>
            </w:r>
          </w:p>
          <w:p w:rsidR="00271BEE" w:rsidRPr="00457B6E" w:rsidRDefault="00271BEE" w:rsidP="001B1B43">
            <w:pPr>
              <w:pStyle w:val="ListParagraph"/>
              <w:numPr>
                <w:ilvl w:val="0"/>
                <w:numId w:val="51"/>
              </w:numPr>
              <w:rPr>
                <w:rFonts w:cs="Arial"/>
                <w:szCs w:val="22"/>
              </w:rPr>
            </w:pPr>
            <w:r w:rsidRPr="00457B6E">
              <w:rPr>
                <w:rFonts w:cs="Arial"/>
                <w:szCs w:val="22"/>
              </w:rPr>
              <w:t>Psychiatric history;</w:t>
            </w:r>
          </w:p>
          <w:p w:rsidR="00271BEE" w:rsidRPr="00457B6E" w:rsidRDefault="00271BEE" w:rsidP="001B1B43">
            <w:pPr>
              <w:pStyle w:val="ListParagraph"/>
              <w:numPr>
                <w:ilvl w:val="0"/>
                <w:numId w:val="51"/>
              </w:numPr>
              <w:rPr>
                <w:rFonts w:cs="Arial"/>
                <w:szCs w:val="22"/>
              </w:rPr>
            </w:pPr>
            <w:r w:rsidRPr="00457B6E">
              <w:rPr>
                <w:rFonts w:cs="Arial"/>
                <w:szCs w:val="22"/>
              </w:rPr>
              <w:t>Trauma history;</w:t>
            </w:r>
          </w:p>
          <w:p w:rsidR="00271BEE" w:rsidRPr="00457B6E" w:rsidRDefault="00271BEE" w:rsidP="001B1B43">
            <w:pPr>
              <w:pStyle w:val="ListParagraph"/>
              <w:numPr>
                <w:ilvl w:val="0"/>
                <w:numId w:val="51"/>
              </w:numPr>
              <w:rPr>
                <w:rFonts w:cs="Arial"/>
                <w:szCs w:val="22"/>
              </w:rPr>
            </w:pPr>
            <w:r w:rsidRPr="00457B6E">
              <w:rPr>
                <w:rFonts w:cs="Arial"/>
                <w:szCs w:val="22"/>
              </w:rPr>
              <w:t>Medication history;</w:t>
            </w:r>
          </w:p>
          <w:p w:rsidR="00271BEE" w:rsidRPr="00457B6E" w:rsidRDefault="00271BEE" w:rsidP="001B1B43">
            <w:pPr>
              <w:pStyle w:val="ListParagraph"/>
              <w:numPr>
                <w:ilvl w:val="0"/>
                <w:numId w:val="51"/>
              </w:numPr>
              <w:rPr>
                <w:rFonts w:cs="Arial"/>
                <w:szCs w:val="22"/>
              </w:rPr>
            </w:pPr>
            <w:r w:rsidRPr="00457B6E">
              <w:rPr>
                <w:rFonts w:cs="Arial"/>
                <w:szCs w:val="22"/>
              </w:rPr>
              <w:t>Alcohol and other drug use history;</w:t>
            </w:r>
          </w:p>
          <w:p w:rsidR="00271BEE" w:rsidRPr="00457B6E" w:rsidRDefault="00271BEE" w:rsidP="001B1B43">
            <w:pPr>
              <w:pStyle w:val="ListParagraph"/>
              <w:numPr>
                <w:ilvl w:val="0"/>
                <w:numId w:val="51"/>
              </w:numPr>
              <w:rPr>
                <w:rFonts w:cs="Arial"/>
                <w:szCs w:val="22"/>
              </w:rPr>
            </w:pPr>
            <w:r w:rsidRPr="00457B6E">
              <w:rPr>
                <w:rFonts w:cs="Arial"/>
                <w:szCs w:val="22"/>
              </w:rPr>
              <w:t xml:space="preserve">Relevant personal and family, medical history; </w:t>
            </w:r>
          </w:p>
          <w:p w:rsidR="00271BEE" w:rsidRPr="00457B6E" w:rsidRDefault="00271BEE" w:rsidP="001B1B43">
            <w:pPr>
              <w:pStyle w:val="ListParagraph"/>
              <w:numPr>
                <w:ilvl w:val="0"/>
                <w:numId w:val="51"/>
              </w:numPr>
              <w:rPr>
                <w:rFonts w:cs="Arial"/>
                <w:szCs w:val="22"/>
              </w:rPr>
            </w:pPr>
            <w:r w:rsidRPr="00457B6E">
              <w:rPr>
                <w:rFonts w:cs="Arial"/>
                <w:szCs w:val="22"/>
              </w:rPr>
              <w:t>Mental health status exam;</w:t>
            </w:r>
          </w:p>
          <w:p w:rsidR="00271BEE" w:rsidRPr="00457B6E" w:rsidRDefault="00271BEE" w:rsidP="001B1B43">
            <w:pPr>
              <w:pStyle w:val="ListParagraph"/>
              <w:numPr>
                <w:ilvl w:val="0"/>
                <w:numId w:val="51"/>
              </w:numPr>
              <w:rPr>
                <w:rFonts w:cs="Arial"/>
                <w:szCs w:val="22"/>
              </w:rPr>
            </w:pPr>
            <w:r w:rsidRPr="00457B6E">
              <w:rPr>
                <w:rFonts w:cs="Arial"/>
                <w:szCs w:val="22"/>
              </w:rPr>
              <w:t>Cultural influences;</w:t>
            </w:r>
          </w:p>
          <w:p w:rsidR="00271BEE" w:rsidRPr="00457B6E" w:rsidRDefault="00271BEE" w:rsidP="001B1B43">
            <w:pPr>
              <w:pStyle w:val="ListParagraph"/>
              <w:numPr>
                <w:ilvl w:val="0"/>
                <w:numId w:val="51"/>
              </w:numPr>
              <w:rPr>
                <w:rFonts w:cs="Arial"/>
                <w:szCs w:val="22"/>
              </w:rPr>
            </w:pPr>
            <w:r w:rsidRPr="00457B6E">
              <w:rPr>
                <w:rFonts w:cs="Arial"/>
                <w:szCs w:val="22"/>
              </w:rPr>
              <w:t>Educational and employment history;</w:t>
            </w:r>
          </w:p>
          <w:p w:rsidR="00271BEE" w:rsidRPr="00457B6E" w:rsidRDefault="00271BEE" w:rsidP="001B1B43">
            <w:pPr>
              <w:pStyle w:val="ListParagraph"/>
              <w:numPr>
                <w:ilvl w:val="0"/>
                <w:numId w:val="51"/>
              </w:numPr>
              <w:rPr>
                <w:rFonts w:cs="Arial"/>
                <w:szCs w:val="22"/>
              </w:rPr>
            </w:pPr>
            <w:r w:rsidRPr="00457B6E">
              <w:rPr>
                <w:rFonts w:cs="Arial"/>
                <w:szCs w:val="22"/>
              </w:rPr>
              <w:t>Legal history;</w:t>
            </w:r>
          </w:p>
          <w:p w:rsidR="00271BEE" w:rsidRPr="00457B6E" w:rsidRDefault="00271BEE" w:rsidP="001B1B43">
            <w:pPr>
              <w:pStyle w:val="ListParagraph"/>
              <w:numPr>
                <w:ilvl w:val="0"/>
                <w:numId w:val="51"/>
              </w:numPr>
              <w:rPr>
                <w:rFonts w:cs="Arial"/>
                <w:szCs w:val="22"/>
              </w:rPr>
            </w:pPr>
            <w:r w:rsidRPr="00457B6E">
              <w:rPr>
                <w:rFonts w:cs="Arial"/>
                <w:szCs w:val="22"/>
              </w:rPr>
              <w:t>General and HIV related medical history;</w:t>
            </w:r>
          </w:p>
          <w:p w:rsidR="00271BEE" w:rsidRPr="00457B6E" w:rsidRDefault="00271BEE" w:rsidP="001B1B43">
            <w:pPr>
              <w:pStyle w:val="ListParagraph"/>
              <w:numPr>
                <w:ilvl w:val="0"/>
                <w:numId w:val="51"/>
              </w:numPr>
              <w:rPr>
                <w:rFonts w:cs="Arial"/>
                <w:szCs w:val="22"/>
              </w:rPr>
            </w:pPr>
            <w:r w:rsidRPr="00457B6E">
              <w:rPr>
                <w:rFonts w:cs="Arial"/>
                <w:szCs w:val="22"/>
              </w:rPr>
              <w:t>Medication adherence;</w:t>
            </w:r>
          </w:p>
          <w:p w:rsidR="00271BEE" w:rsidRPr="00457B6E" w:rsidRDefault="00271BEE" w:rsidP="001B1B43">
            <w:pPr>
              <w:pStyle w:val="ListParagraph"/>
              <w:numPr>
                <w:ilvl w:val="0"/>
                <w:numId w:val="51"/>
              </w:numPr>
              <w:rPr>
                <w:rFonts w:cs="Arial"/>
                <w:szCs w:val="22"/>
              </w:rPr>
            </w:pPr>
            <w:r w:rsidRPr="00457B6E">
              <w:rPr>
                <w:rFonts w:cs="Arial"/>
                <w:szCs w:val="22"/>
              </w:rPr>
              <w:t>HIV risk behavior and harm reduction;</w:t>
            </w:r>
          </w:p>
          <w:p w:rsidR="00271BEE" w:rsidRPr="00457B6E" w:rsidRDefault="00271BEE" w:rsidP="001B1B43">
            <w:pPr>
              <w:pStyle w:val="ListParagraph"/>
              <w:numPr>
                <w:ilvl w:val="0"/>
                <w:numId w:val="51"/>
              </w:numPr>
              <w:rPr>
                <w:rFonts w:cs="Arial"/>
                <w:szCs w:val="22"/>
              </w:rPr>
            </w:pPr>
            <w:r w:rsidRPr="00457B6E">
              <w:rPr>
                <w:rFonts w:cs="Arial"/>
                <w:szCs w:val="22"/>
              </w:rPr>
              <w:t>Summary of findings;</w:t>
            </w:r>
          </w:p>
          <w:p w:rsidR="00271BEE" w:rsidRPr="00457B6E" w:rsidRDefault="00271BEE" w:rsidP="001B1B43">
            <w:pPr>
              <w:pStyle w:val="ListParagraph"/>
              <w:numPr>
                <w:ilvl w:val="0"/>
                <w:numId w:val="51"/>
              </w:numPr>
              <w:rPr>
                <w:rFonts w:cs="Arial"/>
                <w:szCs w:val="22"/>
              </w:rPr>
            </w:pPr>
            <w:r w:rsidRPr="00457B6E">
              <w:rPr>
                <w:rFonts w:cs="Arial"/>
                <w:szCs w:val="22"/>
              </w:rPr>
              <w:t>Diagnostic formulation;</w:t>
            </w:r>
          </w:p>
          <w:p w:rsidR="00271BEE" w:rsidRPr="00457B6E" w:rsidRDefault="00271BEE" w:rsidP="001B1B43">
            <w:pPr>
              <w:pStyle w:val="ListParagraph"/>
              <w:numPr>
                <w:ilvl w:val="0"/>
                <w:numId w:val="51"/>
              </w:numPr>
              <w:rPr>
                <w:rFonts w:cs="Arial"/>
                <w:szCs w:val="22"/>
              </w:rPr>
            </w:pPr>
            <w:r w:rsidRPr="00457B6E">
              <w:rPr>
                <w:rFonts w:cs="Arial"/>
                <w:szCs w:val="22"/>
              </w:rPr>
              <w:t xml:space="preserve">Current risk of danger to self and others; </w:t>
            </w:r>
          </w:p>
          <w:p w:rsidR="00271BEE" w:rsidRPr="00457B6E" w:rsidRDefault="00271BEE" w:rsidP="001B1B43">
            <w:pPr>
              <w:pStyle w:val="ListParagraph"/>
              <w:numPr>
                <w:ilvl w:val="0"/>
                <w:numId w:val="51"/>
              </w:numPr>
              <w:rPr>
                <w:rFonts w:cs="Arial"/>
                <w:szCs w:val="22"/>
              </w:rPr>
            </w:pPr>
            <w:r w:rsidRPr="00457B6E">
              <w:rPr>
                <w:rFonts w:cs="Arial"/>
                <w:szCs w:val="22"/>
              </w:rPr>
              <w:lastRenderedPageBreak/>
              <w:t xml:space="preserve">Social support and functioning, including client strengths/weaknesses, coping mechanisms and self-help strategies; </w:t>
            </w:r>
          </w:p>
          <w:p w:rsidR="00271BEE" w:rsidRPr="00457B6E" w:rsidRDefault="00271BEE" w:rsidP="001B1B43">
            <w:pPr>
              <w:pStyle w:val="ListParagraph"/>
              <w:numPr>
                <w:ilvl w:val="0"/>
                <w:numId w:val="51"/>
              </w:numPr>
              <w:rPr>
                <w:rFonts w:cs="Arial"/>
                <w:szCs w:val="22"/>
              </w:rPr>
            </w:pPr>
            <w:r w:rsidRPr="00457B6E">
              <w:rPr>
                <w:rFonts w:cs="Arial"/>
                <w:szCs w:val="22"/>
              </w:rPr>
              <w:t>Domestic violence/abuse history; and,</w:t>
            </w:r>
          </w:p>
          <w:p w:rsidR="00271BEE" w:rsidRPr="00457B6E" w:rsidRDefault="00271BEE" w:rsidP="001B1B43">
            <w:pPr>
              <w:pStyle w:val="ListParagraph"/>
              <w:numPr>
                <w:ilvl w:val="0"/>
                <w:numId w:val="51"/>
              </w:numPr>
              <w:rPr>
                <w:rFonts w:cs="Arial"/>
                <w:szCs w:val="22"/>
              </w:rPr>
            </w:pPr>
            <w:r w:rsidRPr="00457B6E">
              <w:rPr>
                <w:rFonts w:cs="Arial"/>
                <w:szCs w:val="22"/>
              </w:rPr>
              <w:t>Treatment recommendations or plan.</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lastRenderedPageBreak/>
              <w:t>2.2</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 xml:space="preserve">Completed assessment, signed and dated in consumer clinical record.  </w:t>
            </w:r>
          </w:p>
          <w:p w:rsidR="00271BEE" w:rsidRPr="00457B6E" w:rsidRDefault="00271BEE" w:rsidP="00271BEE">
            <w:pPr>
              <w:rPr>
                <w:rFonts w:cs="Arial"/>
                <w:szCs w:val="22"/>
              </w:rPr>
            </w:pPr>
          </w:p>
          <w:p w:rsidR="00271BEE" w:rsidRPr="00457B6E" w:rsidRDefault="00271BEE" w:rsidP="00271BEE">
            <w:pPr>
              <w:rPr>
                <w:rFonts w:cs="Arial"/>
                <w:szCs w:val="22"/>
              </w:rPr>
            </w:pPr>
            <w:r w:rsidRPr="00457B6E">
              <w:rPr>
                <w:rFonts w:cs="Arial"/>
                <w:szCs w:val="22"/>
              </w:rPr>
              <w:t>If assessment is not completed in 30 days, reason for delay to be documented in progress notes.</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lastRenderedPageBreak/>
              <w:t>2.3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contextualSpacing/>
              <w:rPr>
                <w:rFonts w:cs="Arial"/>
                <w:szCs w:val="22"/>
              </w:rPr>
            </w:pPr>
            <w:r w:rsidRPr="00457B6E">
              <w:rPr>
                <w:rFonts w:cs="Arial"/>
                <w:szCs w:val="22"/>
              </w:rPr>
              <w:t>Biopsychosocial update is ongoing and driven by consumer need, when a consumer’s status has changed significantly or when the consumer has left and re-entered treatment, but at a minimum of every six months.</w:t>
            </w:r>
          </w:p>
          <w:p w:rsidR="00271BEE" w:rsidRPr="00457B6E" w:rsidRDefault="00271BEE" w:rsidP="00271BEE">
            <w:pPr>
              <w:contextualSpacing/>
              <w:rPr>
                <w:rFonts w:cs="Arial"/>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2.3</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Progress notes or new assessment demonstrating update in consumer clinical record.</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 xml:space="preserve">2.4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contextualSpacing/>
              <w:rPr>
                <w:rFonts w:cs="Arial"/>
                <w:szCs w:val="22"/>
              </w:rPr>
            </w:pPr>
            <w:r w:rsidRPr="00457B6E">
              <w:rPr>
                <w:rFonts w:cs="Arial"/>
                <w:szCs w:val="22"/>
              </w:rPr>
              <w:t>Assessments and updated assessments completed by unlicensed providers shall be co-signed by licensed clinical supervisor.</w:t>
            </w:r>
          </w:p>
          <w:p w:rsidR="00271BEE" w:rsidRPr="00457B6E" w:rsidRDefault="00271BEE" w:rsidP="00271BEE">
            <w:pPr>
              <w:contextualSpacing/>
              <w:rPr>
                <w:rFonts w:cs="Arial"/>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2.4</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Co-signature on file in consumer clinical record.</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2.5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szCs w:val="22"/>
              </w:rPr>
            </w:pPr>
            <w:r w:rsidRPr="00457B6E">
              <w:rPr>
                <w:rFonts w:cs="Arial"/>
                <w:szCs w:val="22"/>
              </w:rPr>
              <w:t>Each consumer shall have an individualized treatment plan that is jointly developed by the consumer and the therapist. The treatment plan must be consumer-centered and consistent with the consumer’s identified strengths, abilities, needs and preferences.</w:t>
            </w:r>
          </w:p>
          <w:p w:rsidR="004510AC" w:rsidRPr="00457B6E" w:rsidRDefault="004510AC" w:rsidP="00271BEE">
            <w:pPr>
              <w:rPr>
                <w:rFonts w:cs="Arial"/>
                <w:szCs w:val="22"/>
              </w:rPr>
            </w:pPr>
          </w:p>
          <w:p w:rsidR="00271BEE" w:rsidRPr="00457B6E" w:rsidRDefault="00271BEE" w:rsidP="00271BEE">
            <w:pPr>
              <w:rPr>
                <w:rFonts w:cs="Arial"/>
                <w:szCs w:val="22"/>
              </w:rPr>
            </w:pPr>
            <w:r w:rsidRPr="00457B6E">
              <w:rPr>
                <w:rFonts w:cs="Arial"/>
                <w:szCs w:val="22"/>
              </w:rPr>
              <w:t>If the consumer is under the age of 18 years, the consumer’s parent, guardian, or legal custodian shall be included in the development of the individualized treatment plan.</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2.5</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contextualSpacing/>
              <w:rPr>
                <w:rFonts w:cs="Arial"/>
                <w:szCs w:val="22"/>
              </w:rPr>
            </w:pPr>
            <w:r w:rsidRPr="00457B6E">
              <w:rPr>
                <w:rFonts w:cs="Arial"/>
                <w:szCs w:val="22"/>
              </w:rPr>
              <w:t>The treatment plan contained in the consumer’s clinical record shall reflect the consumer’s or his/her legal representative’s signature as well as the therapist’s signature.</w:t>
            </w:r>
          </w:p>
          <w:p w:rsidR="004510AC" w:rsidRPr="00457B6E" w:rsidRDefault="004510AC" w:rsidP="00271BEE">
            <w:pPr>
              <w:contextualSpacing/>
              <w:rPr>
                <w:rFonts w:cs="Arial"/>
                <w:szCs w:val="22"/>
              </w:rPr>
            </w:pPr>
          </w:p>
          <w:p w:rsidR="00271BEE" w:rsidRPr="00457B6E" w:rsidRDefault="00271BEE" w:rsidP="00271BEE">
            <w:pPr>
              <w:contextualSpacing/>
              <w:rPr>
                <w:rFonts w:cs="Arial"/>
                <w:szCs w:val="22"/>
              </w:rPr>
            </w:pPr>
            <w:r w:rsidRPr="00457B6E">
              <w:rPr>
                <w:rFonts w:cs="Arial"/>
                <w:szCs w:val="22"/>
              </w:rPr>
              <w:t>If the consumer’s age or clinical condition precludes participation in the development of the treatment, an explanation must be provided on the treatment plan.</w:t>
            </w:r>
          </w:p>
          <w:p w:rsidR="004510AC" w:rsidRPr="00457B6E" w:rsidRDefault="004510AC" w:rsidP="00271BEE">
            <w:pPr>
              <w:contextualSpacing/>
              <w:rPr>
                <w:rFonts w:cs="Arial"/>
                <w:szCs w:val="22"/>
              </w:rPr>
            </w:pPr>
          </w:p>
          <w:p w:rsidR="00271BEE" w:rsidRPr="00457B6E" w:rsidRDefault="00271BEE" w:rsidP="00271BEE">
            <w:pPr>
              <w:contextualSpacing/>
              <w:rPr>
                <w:rFonts w:cs="Arial"/>
                <w:szCs w:val="22"/>
              </w:rPr>
            </w:pPr>
            <w:r w:rsidRPr="00457B6E">
              <w:rPr>
                <w:rFonts w:cs="Arial"/>
                <w:szCs w:val="22"/>
              </w:rPr>
              <w:t>If a treatment plan for a consumer under the age of 18 years does not include the consumer’s parent, guardian, or legal custodian’s signature by reason of a situation of exception, documentation and justification of the exception must be provided.</w:t>
            </w:r>
          </w:p>
          <w:p w:rsidR="004510AC" w:rsidRPr="00457B6E" w:rsidRDefault="004510AC" w:rsidP="00271BEE">
            <w:pPr>
              <w:contextualSpacing/>
              <w:rPr>
                <w:rFonts w:cs="Arial"/>
                <w:szCs w:val="22"/>
              </w:rPr>
            </w:pP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2.6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contextualSpacing/>
              <w:rPr>
                <w:rFonts w:cs="Arial"/>
                <w:szCs w:val="22"/>
              </w:rPr>
            </w:pPr>
            <w:r w:rsidRPr="00457B6E">
              <w:rPr>
                <w:rFonts w:cs="Arial"/>
                <w:szCs w:val="22"/>
              </w:rPr>
              <w:t>The treatment plan shall contain all of the following components:</w:t>
            </w:r>
          </w:p>
          <w:p w:rsidR="00271BEE" w:rsidRPr="00457B6E" w:rsidRDefault="00271BEE" w:rsidP="001B1B43">
            <w:pPr>
              <w:pStyle w:val="ListParagraph"/>
              <w:numPr>
                <w:ilvl w:val="0"/>
                <w:numId w:val="52"/>
              </w:numPr>
              <w:rPr>
                <w:rFonts w:cs="Arial"/>
                <w:szCs w:val="22"/>
              </w:rPr>
            </w:pPr>
            <w:r w:rsidRPr="00457B6E">
              <w:rPr>
                <w:szCs w:val="22"/>
              </w:rPr>
              <w:lastRenderedPageBreak/>
              <w:t>The consumer’s diagnosis code (s) consistent with assessment(s)</w:t>
            </w:r>
          </w:p>
          <w:p w:rsidR="00271BEE" w:rsidRPr="00457B6E" w:rsidRDefault="00271BEE" w:rsidP="001B1B43">
            <w:pPr>
              <w:pStyle w:val="ListParagraph"/>
              <w:numPr>
                <w:ilvl w:val="0"/>
                <w:numId w:val="52"/>
              </w:numPr>
              <w:rPr>
                <w:rFonts w:cs="Arial"/>
                <w:szCs w:val="22"/>
              </w:rPr>
            </w:pPr>
            <w:r w:rsidRPr="00457B6E">
              <w:rPr>
                <w:rFonts w:cs="Arial"/>
                <w:szCs w:val="22"/>
              </w:rPr>
              <w:t>Goals that are individualized, strength-based, and appropriate to the consumer’s diagnosis, age, culture, strengths, abilities, preferences, and needs, and expressed by the consumer</w:t>
            </w:r>
          </w:p>
          <w:p w:rsidR="00271BEE" w:rsidRPr="00457B6E" w:rsidRDefault="00271BEE" w:rsidP="001B1B43">
            <w:pPr>
              <w:pStyle w:val="ListParagraph"/>
              <w:numPr>
                <w:ilvl w:val="0"/>
                <w:numId w:val="52"/>
              </w:numPr>
              <w:rPr>
                <w:rFonts w:cs="Arial"/>
                <w:szCs w:val="22"/>
              </w:rPr>
            </w:pPr>
            <w:r w:rsidRPr="00457B6E">
              <w:rPr>
                <w:szCs w:val="22"/>
              </w:rPr>
              <w:t>Measureable objectives with target completion dates that are identified for each goal</w:t>
            </w:r>
          </w:p>
          <w:p w:rsidR="00271BEE" w:rsidRPr="00457B6E" w:rsidRDefault="00271BEE" w:rsidP="001B1B43">
            <w:pPr>
              <w:pStyle w:val="ListParagraph"/>
              <w:numPr>
                <w:ilvl w:val="0"/>
                <w:numId w:val="52"/>
              </w:numPr>
              <w:rPr>
                <w:rFonts w:cs="Arial"/>
                <w:szCs w:val="22"/>
              </w:rPr>
            </w:pPr>
            <w:r w:rsidRPr="00457B6E">
              <w:rPr>
                <w:szCs w:val="22"/>
              </w:rPr>
              <w:t>A list of the services to be provided (treatment plan development, treatment plan review, and evaluation or assessment services provided to establish diagnosis and to gather information for the development of the treatment plan need to be listed)</w:t>
            </w:r>
          </w:p>
          <w:p w:rsidR="00271BEE" w:rsidRPr="00457B6E" w:rsidRDefault="00271BEE" w:rsidP="001B1B43">
            <w:pPr>
              <w:pStyle w:val="ListParagraph"/>
              <w:numPr>
                <w:ilvl w:val="0"/>
                <w:numId w:val="52"/>
              </w:numPr>
              <w:rPr>
                <w:rFonts w:cs="Arial"/>
                <w:szCs w:val="22"/>
              </w:rPr>
            </w:pPr>
            <w:r w:rsidRPr="00457B6E">
              <w:rPr>
                <w:szCs w:val="22"/>
              </w:rPr>
              <w:t>The amount, frequency, and duration of each service for the six month duration of the treatment plan (e.g., four units of therapeutic behavioral on-site services two days per week for six months). It is not permissible to use “as needed”, “</w:t>
            </w:r>
            <w:r w:rsidR="004510AC" w:rsidRPr="00457B6E">
              <w:rPr>
                <w:szCs w:val="22"/>
              </w:rPr>
              <w:t>P.R.N</w:t>
            </w:r>
            <w:r w:rsidRPr="00457B6E">
              <w:rPr>
                <w:szCs w:val="22"/>
              </w:rPr>
              <w:t>” or to state that the consumer will receive a service “x to y times per week”.</w:t>
            </w:r>
            <w:r w:rsidR="004510AC" w:rsidRPr="00457B6E">
              <w:rPr>
                <w:szCs w:val="22"/>
              </w:rPr>
              <w:t xml:space="preserve"> </w:t>
            </w:r>
          </w:p>
          <w:p w:rsidR="004510AC" w:rsidRPr="00457B6E" w:rsidRDefault="004510AC" w:rsidP="004510AC">
            <w:pPr>
              <w:pStyle w:val="ListParagraph"/>
              <w:rPr>
                <w:rFonts w:cs="Arial"/>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lastRenderedPageBreak/>
              <w:t>2.6</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 xml:space="preserve">The treatment plan in the consumer’s clinical record reflects </w:t>
            </w:r>
            <w:r w:rsidRPr="00457B6E">
              <w:rPr>
                <w:rFonts w:cs="Arial"/>
                <w:szCs w:val="22"/>
              </w:rPr>
              <w:lastRenderedPageBreak/>
              <w:t>all required components.</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lastRenderedPageBreak/>
              <w:t>2.7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szCs w:val="22"/>
              </w:rPr>
            </w:pPr>
            <w:r w:rsidRPr="00457B6E">
              <w:rPr>
                <w:rFonts w:cs="Arial"/>
                <w:szCs w:val="22"/>
              </w:rPr>
              <w:t>A formal review of the treatment plan shall be conducted at least every six months. The treatment plan may be reviewed more often than once every six months when significant changes occur and requires the participation of the consumer.</w:t>
            </w:r>
          </w:p>
          <w:p w:rsidR="004510AC" w:rsidRPr="00457B6E" w:rsidRDefault="004510AC" w:rsidP="00271BEE">
            <w:pPr>
              <w:rPr>
                <w:rFonts w:cs="Arial"/>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2.7</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Consumer clinical record reflects treatment plan review within the appropriate time frame and documents consumer participation.</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2.8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szCs w:val="22"/>
              </w:rPr>
            </w:pPr>
            <w:r w:rsidRPr="00457B6E">
              <w:rPr>
                <w:rFonts w:cs="Arial"/>
                <w:szCs w:val="22"/>
              </w:rPr>
              <w:t xml:space="preserve">Activities, notations of discussions, findings, conclusions, and recommendations shall be documented during the treatment </w:t>
            </w:r>
            <w:r w:rsidRPr="00457B6E">
              <w:rPr>
                <w:rFonts w:cs="Arial"/>
                <w:szCs w:val="22"/>
              </w:rPr>
              <w:lastRenderedPageBreak/>
              <w:t>plan review. Any modifications or additions to the treatment plan must be documented based on the results of the review. The treatment plan review shall contain the following components:</w:t>
            </w:r>
          </w:p>
          <w:p w:rsidR="00271BEE" w:rsidRPr="00457B6E" w:rsidRDefault="00271BEE" w:rsidP="001B1B43">
            <w:pPr>
              <w:pStyle w:val="ListParagraph"/>
              <w:numPr>
                <w:ilvl w:val="0"/>
                <w:numId w:val="53"/>
              </w:numPr>
              <w:rPr>
                <w:rFonts w:cs="Arial"/>
                <w:szCs w:val="22"/>
              </w:rPr>
            </w:pPr>
            <w:r w:rsidRPr="00457B6E">
              <w:rPr>
                <w:szCs w:val="22"/>
              </w:rPr>
              <w:t>Current diagnosis code(s) and justification for any changes in diagnosis</w:t>
            </w:r>
          </w:p>
          <w:p w:rsidR="00271BEE" w:rsidRPr="00457B6E" w:rsidRDefault="00271BEE" w:rsidP="001B1B43">
            <w:pPr>
              <w:pStyle w:val="ListParagraph"/>
              <w:numPr>
                <w:ilvl w:val="0"/>
                <w:numId w:val="53"/>
              </w:numPr>
              <w:rPr>
                <w:rFonts w:cs="Arial"/>
                <w:szCs w:val="22"/>
              </w:rPr>
            </w:pPr>
            <w:r w:rsidRPr="00457B6E">
              <w:rPr>
                <w:rFonts w:cs="Arial"/>
                <w:szCs w:val="22"/>
              </w:rPr>
              <w:t>Consumer’s progress toward meeting individualized goals and objectives</w:t>
            </w:r>
          </w:p>
          <w:p w:rsidR="00271BEE" w:rsidRPr="00457B6E" w:rsidRDefault="00271BEE" w:rsidP="001B1B43">
            <w:pPr>
              <w:pStyle w:val="ListParagraph"/>
              <w:numPr>
                <w:ilvl w:val="0"/>
                <w:numId w:val="53"/>
              </w:numPr>
              <w:rPr>
                <w:rFonts w:cs="Arial"/>
                <w:szCs w:val="22"/>
              </w:rPr>
            </w:pPr>
            <w:r w:rsidRPr="00457B6E">
              <w:rPr>
                <w:rFonts w:cs="Arial"/>
                <w:szCs w:val="22"/>
              </w:rPr>
              <w:t>Consumer’s progress towards meeting individualized discharge criteria</w:t>
            </w:r>
          </w:p>
          <w:p w:rsidR="00271BEE" w:rsidRPr="00457B6E" w:rsidRDefault="00271BEE" w:rsidP="001B1B43">
            <w:pPr>
              <w:pStyle w:val="ListParagraph"/>
              <w:numPr>
                <w:ilvl w:val="0"/>
                <w:numId w:val="53"/>
              </w:numPr>
              <w:rPr>
                <w:rFonts w:cs="Arial"/>
                <w:szCs w:val="22"/>
              </w:rPr>
            </w:pPr>
            <w:r w:rsidRPr="00457B6E">
              <w:rPr>
                <w:szCs w:val="22"/>
              </w:rPr>
              <w:t>Updates to after care plan</w:t>
            </w:r>
          </w:p>
          <w:p w:rsidR="00271BEE" w:rsidRPr="00457B6E" w:rsidRDefault="00271BEE" w:rsidP="001B1B43">
            <w:pPr>
              <w:pStyle w:val="ListParagraph"/>
              <w:numPr>
                <w:ilvl w:val="0"/>
                <w:numId w:val="53"/>
              </w:numPr>
              <w:rPr>
                <w:rFonts w:cs="Arial"/>
                <w:szCs w:val="22"/>
              </w:rPr>
            </w:pPr>
            <w:r w:rsidRPr="00457B6E">
              <w:rPr>
                <w:szCs w:val="22"/>
              </w:rPr>
              <w:t>Findings</w:t>
            </w:r>
          </w:p>
          <w:p w:rsidR="00271BEE" w:rsidRPr="00457B6E" w:rsidRDefault="00271BEE" w:rsidP="001B1B43">
            <w:pPr>
              <w:pStyle w:val="ListParagraph"/>
              <w:numPr>
                <w:ilvl w:val="0"/>
                <w:numId w:val="53"/>
              </w:numPr>
              <w:rPr>
                <w:rFonts w:cs="Arial"/>
                <w:szCs w:val="22"/>
              </w:rPr>
            </w:pPr>
            <w:r w:rsidRPr="00457B6E">
              <w:rPr>
                <w:szCs w:val="22"/>
              </w:rPr>
              <w:t>Recommendations</w:t>
            </w:r>
          </w:p>
          <w:p w:rsidR="00271BEE" w:rsidRPr="00457B6E" w:rsidRDefault="00271BEE" w:rsidP="001B1B43">
            <w:pPr>
              <w:pStyle w:val="ListParagraph"/>
              <w:numPr>
                <w:ilvl w:val="0"/>
                <w:numId w:val="53"/>
              </w:numPr>
              <w:rPr>
                <w:rFonts w:cs="Arial"/>
                <w:szCs w:val="22"/>
              </w:rPr>
            </w:pPr>
            <w:r w:rsidRPr="00457B6E">
              <w:rPr>
                <w:szCs w:val="22"/>
              </w:rPr>
              <w:t>Dated signature of the consumer</w:t>
            </w:r>
          </w:p>
          <w:p w:rsidR="00271BEE" w:rsidRPr="00457B6E" w:rsidRDefault="00271BEE" w:rsidP="001B1B43">
            <w:pPr>
              <w:pStyle w:val="ListParagraph"/>
              <w:numPr>
                <w:ilvl w:val="0"/>
                <w:numId w:val="53"/>
              </w:numPr>
              <w:rPr>
                <w:rFonts w:cs="Arial"/>
                <w:szCs w:val="22"/>
              </w:rPr>
            </w:pPr>
            <w:r w:rsidRPr="00457B6E">
              <w:rPr>
                <w:szCs w:val="22"/>
              </w:rPr>
              <w:t>Dated signature of the consumer’s parent, guardian, or legal custodian (If consumer is under 18 years of age)</w:t>
            </w:r>
          </w:p>
          <w:p w:rsidR="00271BEE" w:rsidRPr="00457B6E" w:rsidRDefault="00271BEE" w:rsidP="001B1B43">
            <w:pPr>
              <w:pStyle w:val="ListParagraph"/>
              <w:numPr>
                <w:ilvl w:val="0"/>
                <w:numId w:val="53"/>
              </w:numPr>
              <w:rPr>
                <w:rFonts w:cs="Arial"/>
                <w:szCs w:val="22"/>
              </w:rPr>
            </w:pPr>
            <w:r w:rsidRPr="00457B6E">
              <w:rPr>
                <w:szCs w:val="22"/>
              </w:rPr>
              <w:t>Signatures of the treatment team members who participated in review of the plan</w:t>
            </w:r>
          </w:p>
          <w:p w:rsidR="00271BEE" w:rsidRPr="00457B6E" w:rsidRDefault="00271BEE" w:rsidP="001B1B43">
            <w:pPr>
              <w:pStyle w:val="ListParagraph"/>
              <w:numPr>
                <w:ilvl w:val="0"/>
                <w:numId w:val="53"/>
              </w:numPr>
              <w:rPr>
                <w:rFonts w:cs="Arial"/>
                <w:szCs w:val="22"/>
              </w:rPr>
            </w:pPr>
            <w:r w:rsidRPr="00457B6E">
              <w:rPr>
                <w:szCs w:val="22"/>
              </w:rPr>
              <w:t>A sign and dated statement by the treating practitioner that services are medically necessary and appropriate to the consumer’s diagnosis and needs</w:t>
            </w:r>
          </w:p>
          <w:p w:rsidR="00271BEE" w:rsidRPr="00457B6E" w:rsidRDefault="00271BEE" w:rsidP="00271BEE">
            <w:pPr>
              <w:rPr>
                <w:rFonts w:cs="Arial"/>
                <w:szCs w:val="22"/>
              </w:rPr>
            </w:pPr>
          </w:p>
          <w:p w:rsidR="00271BEE" w:rsidRPr="00457B6E" w:rsidRDefault="00271BEE" w:rsidP="00271BEE">
            <w:pPr>
              <w:rPr>
                <w:rFonts w:cs="Arial"/>
                <w:szCs w:val="22"/>
              </w:rPr>
            </w:pPr>
            <w:r w:rsidRPr="00457B6E">
              <w:rPr>
                <w:rFonts w:cs="Arial"/>
                <w:szCs w:val="22"/>
              </w:rPr>
              <w:t>If the treatment plan review process indicates that the goals and objectives have not been met, documentation shall reflect the treatment team’s re-assessment of services and justification if no changes are made.</w:t>
            </w:r>
          </w:p>
          <w:p w:rsidR="004510AC" w:rsidRPr="00457B6E" w:rsidRDefault="004510AC" w:rsidP="00271BEE">
            <w:pPr>
              <w:rPr>
                <w:rFonts w:cs="Arial"/>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lastRenderedPageBreak/>
              <w:t>2.8</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Written documentation must be included in the consumer’s clinical record upon completion of the treatment plan review activities.</w:t>
            </w:r>
          </w:p>
        </w:tc>
      </w:tr>
      <w:tr w:rsidR="00271BEE" w:rsidRPr="00271BE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lastRenderedPageBreak/>
              <w:t>2.9</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b/>
                <w:szCs w:val="22"/>
              </w:rPr>
            </w:pPr>
            <w:r w:rsidRPr="00457B6E">
              <w:rPr>
                <w:rFonts w:cs="Arial"/>
                <w:szCs w:val="22"/>
              </w:rPr>
              <w:t xml:space="preserve">Psychiatric Services include evaluation of the need for </w:t>
            </w:r>
            <w:r w:rsidRPr="00457B6E">
              <w:rPr>
                <w:rFonts w:cs="Arial"/>
                <w:szCs w:val="22"/>
              </w:rPr>
              <w:lastRenderedPageBreak/>
              <w:t xml:space="preserve">medication; evaluation of clinical effectiveness and side effects of medication; prescribing, dispensing, and administering of psychiatric medications; medication education and facilitating informed consent (including discussing side effects, risks, benefits, and alternatives with the consumer or other responsible persons); planning related to service delivery; and evaluating the status of the consumer’s community functioning. </w:t>
            </w:r>
            <w:r w:rsidRPr="00457B6E">
              <w:rPr>
                <w:rFonts w:cs="Arial"/>
                <w:b/>
                <w:szCs w:val="22"/>
              </w:rPr>
              <w:t xml:space="preserve"> </w:t>
            </w:r>
          </w:p>
          <w:p w:rsidR="00457B6E" w:rsidRDefault="00457B6E" w:rsidP="00271BEE">
            <w:pPr>
              <w:rPr>
                <w:rFonts w:cs="Arial"/>
                <w:b/>
                <w:szCs w:val="22"/>
              </w:rPr>
            </w:pPr>
          </w:p>
          <w:p w:rsidR="00271BEE" w:rsidRPr="007B4017" w:rsidRDefault="00271BEE" w:rsidP="00271BEE">
            <w:pPr>
              <w:rPr>
                <w:rFonts w:cs="Arial"/>
                <w:b/>
                <w:sz w:val="22"/>
                <w:szCs w:val="22"/>
              </w:rPr>
            </w:pPr>
            <w:r w:rsidRPr="007B4017">
              <w:rPr>
                <w:rFonts w:cs="Arial"/>
                <w:b/>
                <w:sz w:val="22"/>
                <w:szCs w:val="22"/>
              </w:rPr>
              <w:t>Note: Medication management cannot be provided in a group and must be combined with psychotherapy.</w:t>
            </w:r>
          </w:p>
          <w:p w:rsidR="004510AC" w:rsidRPr="00457B6E" w:rsidRDefault="004510AC" w:rsidP="00271BEE">
            <w:pPr>
              <w:rPr>
                <w:rFonts w:cs="Arial"/>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lastRenderedPageBreak/>
              <w:t>2.9</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2"/>
              </w:rPr>
            </w:pPr>
            <w:r w:rsidRPr="00457B6E">
              <w:rPr>
                <w:rFonts w:cs="Arial"/>
                <w:szCs w:val="22"/>
              </w:rPr>
              <w:t xml:space="preserve">Written documentation must be included in the consumer’s clinical </w:t>
            </w:r>
            <w:r w:rsidRPr="00457B6E">
              <w:rPr>
                <w:rFonts w:cs="Arial"/>
                <w:szCs w:val="22"/>
              </w:rPr>
              <w:lastRenderedPageBreak/>
              <w:t>record upon completion of the treatment plan review activities.</w:t>
            </w:r>
          </w:p>
        </w:tc>
      </w:tr>
    </w:tbl>
    <w:p w:rsidR="00271BEE" w:rsidRDefault="00271BEE" w:rsidP="00271BEE">
      <w:pPr>
        <w:spacing w:after="0" w:line="240" w:lineRule="auto"/>
        <w:rPr>
          <w:rFonts w:ascii="Arial" w:hAnsi="Arial" w:cs="Arial"/>
          <w:sz w:val="24"/>
        </w:rPr>
      </w:pPr>
    </w:p>
    <w:tbl>
      <w:tblPr>
        <w:tblStyle w:val="TableGrid9"/>
        <w:tblW w:w="0" w:type="auto"/>
        <w:tblLook w:val="04A0" w:firstRow="1" w:lastRow="0" w:firstColumn="1" w:lastColumn="0" w:noHBand="0" w:noVBand="1"/>
      </w:tblPr>
      <w:tblGrid>
        <w:gridCol w:w="9576"/>
      </w:tblGrid>
      <w:tr w:rsidR="00C27ED1" w:rsidRPr="00304877" w:rsidTr="007B4017">
        <w:tc>
          <w:tcPr>
            <w:tcW w:w="9576" w:type="dxa"/>
            <w:tcBorders>
              <w:top w:val="single" w:sz="12" w:space="0" w:color="auto"/>
              <w:left w:val="nil"/>
              <w:bottom w:val="nil"/>
              <w:right w:val="nil"/>
            </w:tcBorders>
          </w:tcPr>
          <w:p w:rsidR="00C27ED1" w:rsidRPr="00304877" w:rsidRDefault="00C27ED1" w:rsidP="008E7A5D">
            <w:pPr>
              <w:pStyle w:val="Heading3"/>
              <w:spacing w:before="0"/>
              <w:outlineLvl w:val="2"/>
              <w:rPr>
                <w:sz w:val="36"/>
              </w:rPr>
            </w:pPr>
            <w:bookmarkStart w:id="47" w:name="_Toc489280890"/>
            <w:r w:rsidRPr="008E7A5D">
              <w:rPr>
                <w:sz w:val="28"/>
              </w:rPr>
              <w:t>3.0 Discharge</w:t>
            </w:r>
            <w:bookmarkEnd w:id="47"/>
          </w:p>
        </w:tc>
      </w:tr>
    </w:tbl>
    <w:p w:rsidR="00AB12FA" w:rsidRDefault="00AB12FA" w:rsidP="00AB12FA">
      <w:pPr>
        <w:spacing w:after="0"/>
      </w:pPr>
    </w:p>
    <w:tbl>
      <w:tblPr>
        <w:tblStyle w:val="TableGrid"/>
        <w:tblW w:w="0" w:type="auto"/>
        <w:tblLook w:val="04A0" w:firstRow="1" w:lastRow="0" w:firstColumn="1" w:lastColumn="0" w:noHBand="0" w:noVBand="1"/>
      </w:tblPr>
      <w:tblGrid>
        <w:gridCol w:w="9576"/>
      </w:tblGrid>
      <w:tr w:rsidR="007B4017" w:rsidTr="007B4017">
        <w:tc>
          <w:tcPr>
            <w:tcW w:w="9576" w:type="dxa"/>
            <w:tcBorders>
              <w:top w:val="nil"/>
              <w:left w:val="nil"/>
              <w:bottom w:val="nil"/>
              <w:right w:val="nil"/>
            </w:tcBorders>
          </w:tcPr>
          <w:p w:rsidR="007B4017" w:rsidRDefault="007B4017" w:rsidP="00AB12FA">
            <w:pPr>
              <w:rPr>
                <w:rFonts w:cs="Arial"/>
              </w:rPr>
            </w:pPr>
            <w:r w:rsidRPr="00271BEE">
              <w:rPr>
                <w:rFonts w:cs="Arial"/>
              </w:rPr>
              <w:t>Consumers who are no longer engaged in Mental Health services should have their cases closed based on the criteria and protocol outlined in the consumer’s treatment plan and the agency’s Discharge policy in the Policies and Procedures Manual.</w:t>
            </w:r>
          </w:p>
        </w:tc>
      </w:tr>
    </w:tbl>
    <w:p w:rsidR="00271BEE" w:rsidRPr="00271BEE" w:rsidRDefault="00271BEE" w:rsidP="00271BEE">
      <w:pPr>
        <w:spacing w:after="0" w:line="240" w:lineRule="auto"/>
        <w:rPr>
          <w:rFonts w:ascii="Arial" w:hAnsi="Arial" w:cs="Arial"/>
          <w:sz w:val="24"/>
        </w:rPr>
      </w:pPr>
    </w:p>
    <w:tbl>
      <w:tblPr>
        <w:tblStyle w:val="TableGrid10"/>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271BEE" w:rsidRPr="00271BEE" w:rsidTr="00C27ED1">
        <w:trPr>
          <w:trHeight w:hRule="exact" w:val="288"/>
        </w:trPr>
        <w:tc>
          <w:tcPr>
            <w:tcW w:w="9558" w:type="dxa"/>
            <w:gridSpan w:val="4"/>
            <w:shd w:val="clear" w:color="auto" w:fill="17365D" w:themeFill="text2" w:themeFillShade="BF"/>
          </w:tcPr>
          <w:p w:rsidR="00271BEE" w:rsidRPr="00271BEE" w:rsidRDefault="00271BEE" w:rsidP="00C27ED1">
            <w:pPr>
              <w:pStyle w:val="Heading4"/>
              <w:spacing w:before="0"/>
              <w:outlineLvl w:val="3"/>
            </w:pPr>
            <w:r w:rsidRPr="00C27ED1">
              <w:rPr>
                <w:color w:val="FFFFFF" w:themeColor="background1"/>
                <w:sz w:val="28"/>
              </w:rPr>
              <w:t>3.0 Discharge</w:t>
            </w:r>
          </w:p>
        </w:tc>
      </w:tr>
      <w:tr w:rsidR="00C27ED1" w:rsidRPr="00271BEE" w:rsidTr="00C27ED1">
        <w:trPr>
          <w:trHeight w:hRule="exact" w:val="288"/>
        </w:trPr>
        <w:tc>
          <w:tcPr>
            <w:tcW w:w="4896" w:type="dxa"/>
            <w:gridSpan w:val="2"/>
            <w:vAlign w:val="center"/>
          </w:tcPr>
          <w:p w:rsidR="00C27ED1" w:rsidRPr="004510AC" w:rsidRDefault="00C27ED1" w:rsidP="00271BEE">
            <w:pPr>
              <w:jc w:val="center"/>
              <w:rPr>
                <w:rFonts w:cs="Arial"/>
                <w:b/>
                <w:sz w:val="28"/>
                <w:szCs w:val="24"/>
              </w:rPr>
            </w:pPr>
          </w:p>
        </w:tc>
        <w:tc>
          <w:tcPr>
            <w:tcW w:w="4662" w:type="dxa"/>
            <w:gridSpan w:val="2"/>
            <w:vAlign w:val="center"/>
          </w:tcPr>
          <w:p w:rsidR="00C27ED1" w:rsidRPr="004510AC" w:rsidRDefault="00C27ED1" w:rsidP="00271BEE">
            <w:pPr>
              <w:jc w:val="center"/>
              <w:rPr>
                <w:rFonts w:cs="Arial"/>
                <w:b/>
                <w:sz w:val="28"/>
                <w:szCs w:val="24"/>
              </w:rPr>
            </w:pPr>
          </w:p>
        </w:tc>
      </w:tr>
      <w:tr w:rsidR="00271BEE" w:rsidRPr="00271BEE" w:rsidTr="00C27ED1">
        <w:trPr>
          <w:trHeight w:hRule="exact" w:val="288"/>
        </w:trPr>
        <w:tc>
          <w:tcPr>
            <w:tcW w:w="4896" w:type="dxa"/>
            <w:gridSpan w:val="2"/>
            <w:tcBorders>
              <w:bottom w:val="single" w:sz="12" w:space="0" w:color="17365D" w:themeColor="text2" w:themeShade="BF"/>
              <w:right w:val="single" w:sz="12" w:space="0" w:color="17365D" w:themeColor="text2" w:themeShade="BF"/>
            </w:tcBorders>
            <w:vAlign w:val="center"/>
          </w:tcPr>
          <w:p w:rsidR="00271BEE" w:rsidRPr="00457B6E" w:rsidRDefault="00271BEE" w:rsidP="00271BEE">
            <w:pPr>
              <w:jc w:val="center"/>
              <w:rPr>
                <w:rStyle w:val="BookTitle"/>
              </w:rPr>
            </w:pPr>
            <w:r w:rsidRPr="00457B6E">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271BEE" w:rsidRPr="00457B6E" w:rsidRDefault="00271BEE" w:rsidP="00271BEE">
            <w:pPr>
              <w:jc w:val="center"/>
              <w:rPr>
                <w:rStyle w:val="BookTitle"/>
              </w:rPr>
            </w:pPr>
            <w:r w:rsidRPr="00457B6E">
              <w:rPr>
                <w:rStyle w:val="BookTitle"/>
              </w:rPr>
              <w:t>Measures</w:t>
            </w:r>
          </w:p>
        </w:tc>
      </w:tr>
      <w:tr w:rsidR="00271BEE" w:rsidRPr="00457B6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rPr>
                <w:rFonts w:cs="Arial"/>
                <w:szCs w:val="24"/>
              </w:rPr>
            </w:pPr>
            <w:r w:rsidRPr="00457B6E">
              <w:rPr>
                <w:rFonts w:cs="Arial"/>
                <w:szCs w:val="24"/>
              </w:rPr>
              <w:t>Upon face-to-face discharge, consumers shall receive a discharge plan which has been approved by a qualified supervisor.</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3.1</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 xml:space="preserve">Discharge plan will document reason for closure; outline available resources and instructions for follow up, and </w:t>
            </w:r>
            <w:r w:rsidR="00AB12FA" w:rsidRPr="00457B6E">
              <w:rPr>
                <w:rFonts w:cs="Arial"/>
                <w:szCs w:val="24"/>
              </w:rPr>
              <w:t>are</w:t>
            </w:r>
            <w:r w:rsidRPr="00457B6E">
              <w:rPr>
                <w:rFonts w:cs="Arial"/>
                <w:szCs w:val="24"/>
              </w:rPr>
              <w:t xml:space="preserve"> signed by the treating provider and a qualified supervisor.</w:t>
            </w:r>
          </w:p>
          <w:p w:rsidR="004510AC" w:rsidRPr="00457B6E" w:rsidRDefault="004510AC" w:rsidP="00271BEE">
            <w:pPr>
              <w:rPr>
                <w:rFonts w:cs="Arial"/>
                <w:szCs w:val="24"/>
              </w:rPr>
            </w:pPr>
          </w:p>
        </w:tc>
      </w:tr>
      <w:tr w:rsidR="00271BEE" w:rsidRPr="00457B6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3.2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contextualSpacing/>
              <w:rPr>
                <w:rFonts w:cs="Arial"/>
                <w:szCs w:val="24"/>
              </w:rPr>
            </w:pPr>
            <w:r w:rsidRPr="00457B6E">
              <w:rPr>
                <w:rFonts w:cs="Arial"/>
                <w:szCs w:val="24"/>
              </w:rPr>
              <w:t xml:space="preserve">Each closed consumer record shall contain a discharge summary and an exit interview, where appropriate. </w:t>
            </w:r>
          </w:p>
          <w:p w:rsidR="00271BEE" w:rsidRPr="00457B6E" w:rsidRDefault="00271BEE" w:rsidP="00271BEE">
            <w:pPr>
              <w:contextualSpacing/>
              <w:rPr>
                <w:rFonts w:cs="Arial"/>
                <w:szCs w:val="24"/>
              </w:rPr>
            </w:pPr>
          </w:p>
          <w:p w:rsidR="00271BEE" w:rsidRPr="007B4017" w:rsidRDefault="00271BEE" w:rsidP="00271BEE">
            <w:pPr>
              <w:contextualSpacing/>
              <w:rPr>
                <w:rFonts w:cs="Arial"/>
                <w:sz w:val="22"/>
                <w:szCs w:val="24"/>
              </w:rPr>
            </w:pPr>
            <w:r w:rsidRPr="007B4017">
              <w:rPr>
                <w:rFonts w:cs="Arial"/>
                <w:b/>
                <w:sz w:val="22"/>
                <w:szCs w:val="24"/>
              </w:rPr>
              <w:t>Note: When the treating provider is not able to conduct an exit interview or discharge summary, the reason must be documented in the record</w:t>
            </w:r>
            <w:r w:rsidRPr="007B4017">
              <w:rPr>
                <w:rFonts w:cs="Arial"/>
                <w:sz w:val="22"/>
                <w:szCs w:val="24"/>
              </w:rPr>
              <w:t>.</w:t>
            </w:r>
          </w:p>
          <w:p w:rsidR="004510AC" w:rsidRPr="00457B6E" w:rsidRDefault="004510AC" w:rsidP="00271BEE">
            <w:pPr>
              <w:contextualSpacing/>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3.2</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The discharge summary shall document the recent closure in case disposition and shall be reviewed by the clinical supervisor.</w:t>
            </w:r>
          </w:p>
        </w:tc>
      </w:tr>
      <w:tr w:rsidR="00271BEE" w:rsidRPr="00457B6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3.3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r w:rsidRPr="00457B6E">
              <w:t xml:space="preserve">All discharged consumers shall be offered an exit interview via one of </w:t>
            </w:r>
            <w:r w:rsidRPr="00457B6E">
              <w:lastRenderedPageBreak/>
              <w:t>the following:</w:t>
            </w:r>
          </w:p>
          <w:p w:rsidR="00271BEE" w:rsidRPr="00457B6E" w:rsidRDefault="00457B6E" w:rsidP="001B1B43">
            <w:pPr>
              <w:pStyle w:val="ListParagraph"/>
              <w:numPr>
                <w:ilvl w:val="0"/>
                <w:numId w:val="101"/>
              </w:numPr>
            </w:pPr>
            <w:r w:rsidRPr="00457B6E">
              <w:t>Face-to-fac</w:t>
            </w:r>
            <w:r w:rsidR="00271BEE" w:rsidRPr="00457B6E">
              <w:t>e visit;</w:t>
            </w:r>
          </w:p>
          <w:p w:rsidR="00271BEE" w:rsidRPr="00457B6E" w:rsidRDefault="00457B6E" w:rsidP="001B1B43">
            <w:pPr>
              <w:pStyle w:val="ListParagraph"/>
              <w:numPr>
                <w:ilvl w:val="0"/>
                <w:numId w:val="101"/>
              </w:numPr>
            </w:pPr>
            <w:r w:rsidRPr="00457B6E">
              <w:t>Telephone call; or</w:t>
            </w:r>
          </w:p>
          <w:p w:rsidR="00271BEE" w:rsidRPr="00457B6E" w:rsidRDefault="00457B6E" w:rsidP="001B1B43">
            <w:pPr>
              <w:pStyle w:val="ListParagraph"/>
              <w:numPr>
                <w:ilvl w:val="0"/>
                <w:numId w:val="101"/>
              </w:numPr>
            </w:pPr>
            <w:r w:rsidRPr="00457B6E">
              <w:t>Written communication</w:t>
            </w:r>
          </w:p>
          <w:p w:rsidR="00457B6E" w:rsidRDefault="00457B6E" w:rsidP="00271BEE">
            <w:pPr>
              <w:contextualSpacing/>
              <w:rPr>
                <w:b/>
              </w:rPr>
            </w:pPr>
          </w:p>
          <w:p w:rsidR="00271BEE" w:rsidRPr="007B4017" w:rsidRDefault="00271BEE" w:rsidP="00271BEE">
            <w:pPr>
              <w:contextualSpacing/>
              <w:rPr>
                <w:b/>
                <w:sz w:val="22"/>
              </w:rPr>
            </w:pPr>
            <w:r w:rsidRPr="007B4017">
              <w:rPr>
                <w:b/>
                <w:sz w:val="22"/>
              </w:rPr>
              <w:t xml:space="preserve">Note: When the treating </w:t>
            </w:r>
            <w:r w:rsidR="004510AC" w:rsidRPr="007B4017">
              <w:rPr>
                <w:b/>
                <w:sz w:val="22"/>
              </w:rPr>
              <w:t>provider is</w:t>
            </w:r>
            <w:r w:rsidRPr="007B4017">
              <w:rPr>
                <w:b/>
                <w:sz w:val="22"/>
              </w:rPr>
              <w:t xml:space="preserve"> not able to conduct an exit interview, reason must be documented in the record</w:t>
            </w:r>
            <w:r w:rsidR="004510AC" w:rsidRPr="007B4017">
              <w:rPr>
                <w:b/>
                <w:sz w:val="22"/>
              </w:rPr>
              <w:t>.</w:t>
            </w:r>
          </w:p>
          <w:p w:rsidR="004510AC" w:rsidRPr="00457B6E" w:rsidRDefault="004510AC" w:rsidP="00271BEE">
            <w:pPr>
              <w:contextualSpacing/>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lastRenderedPageBreak/>
              <w:t>3.3</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 xml:space="preserve">The discharge summary shall document an exit interview was </w:t>
            </w:r>
            <w:r w:rsidRPr="00457B6E">
              <w:rPr>
                <w:rFonts w:cs="Arial"/>
                <w:szCs w:val="24"/>
              </w:rPr>
              <w:lastRenderedPageBreak/>
              <w:t>offered.</w:t>
            </w:r>
          </w:p>
        </w:tc>
      </w:tr>
      <w:tr w:rsidR="00271BEE" w:rsidRPr="00457B6E" w:rsidTr="00271BEE">
        <w:tc>
          <w:tcPr>
            <w:tcW w:w="738"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lastRenderedPageBreak/>
              <w:t>3.4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271BEE" w:rsidRPr="00457B6E" w:rsidRDefault="00271BEE" w:rsidP="00271BEE">
            <w:pPr>
              <w:contextualSpacing/>
              <w:rPr>
                <w:rFonts w:cs="Arial"/>
                <w:szCs w:val="24"/>
              </w:rPr>
            </w:pPr>
            <w:r w:rsidRPr="00457B6E">
              <w:rPr>
                <w:rFonts w:cs="Arial"/>
                <w:szCs w:val="24"/>
              </w:rPr>
              <w:t>All discharge summaries shall be documented in Consumer record within 6 months of the last consumer contact.</w:t>
            </w:r>
          </w:p>
          <w:p w:rsidR="004510AC" w:rsidRPr="00457B6E" w:rsidRDefault="004510AC" w:rsidP="00271BEE">
            <w:pPr>
              <w:contextualSpacing/>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3.4</w:t>
            </w:r>
          </w:p>
        </w:tc>
        <w:tc>
          <w:tcPr>
            <w:tcW w:w="3960" w:type="dxa"/>
            <w:tcBorders>
              <w:top w:val="single" w:sz="12" w:space="0" w:color="17365D" w:themeColor="text2" w:themeShade="BF"/>
              <w:bottom w:val="single" w:sz="12" w:space="0" w:color="17365D" w:themeColor="text2" w:themeShade="BF"/>
            </w:tcBorders>
          </w:tcPr>
          <w:p w:rsidR="00271BEE" w:rsidRPr="00457B6E" w:rsidRDefault="00271BEE" w:rsidP="00271BEE">
            <w:pPr>
              <w:rPr>
                <w:rFonts w:cs="Arial"/>
                <w:szCs w:val="24"/>
              </w:rPr>
            </w:pPr>
            <w:r w:rsidRPr="00457B6E">
              <w:rPr>
                <w:rFonts w:cs="Arial"/>
                <w:szCs w:val="24"/>
              </w:rPr>
              <w:t>Documentation in consumer clinical record</w:t>
            </w:r>
          </w:p>
        </w:tc>
      </w:tr>
    </w:tbl>
    <w:p w:rsidR="00271BEE" w:rsidRPr="00457B6E" w:rsidRDefault="00271BEE" w:rsidP="00271BEE">
      <w:pPr>
        <w:spacing w:after="0" w:line="240" w:lineRule="auto"/>
        <w:rPr>
          <w:rFonts w:ascii="Arial" w:hAnsi="Arial" w:cs="Arial"/>
          <w:sz w:val="24"/>
        </w:rPr>
      </w:pPr>
    </w:p>
    <w:p w:rsidR="00271BEE" w:rsidRPr="00457B6E" w:rsidRDefault="00271BEE" w:rsidP="00271BEE">
      <w:pPr>
        <w:spacing w:after="0" w:line="240" w:lineRule="auto"/>
        <w:rPr>
          <w:rFonts w:ascii="Arial" w:hAnsi="Arial" w:cs="Arial"/>
          <w:sz w:val="24"/>
        </w:rPr>
      </w:pPr>
    </w:p>
    <w:p w:rsidR="00271BEE" w:rsidRPr="00457B6E" w:rsidRDefault="00271BEE" w:rsidP="00271BEE">
      <w:pPr>
        <w:rPr>
          <w:rFonts w:ascii="Arial" w:hAnsi="Arial" w:cs="Arial"/>
          <w:sz w:val="24"/>
        </w:rPr>
      </w:pPr>
    </w:p>
    <w:p w:rsidR="000859CB" w:rsidRPr="00457B6E" w:rsidRDefault="000859CB" w:rsidP="000859CB">
      <w:pPr>
        <w:spacing w:after="0" w:line="240" w:lineRule="auto"/>
        <w:jc w:val="both"/>
        <w:rPr>
          <w:rFonts w:ascii="Arial" w:hAnsi="Arial" w:cs="Arial"/>
          <w:sz w:val="24"/>
        </w:rPr>
      </w:pPr>
    </w:p>
    <w:p w:rsidR="000859CB" w:rsidRPr="00457B6E" w:rsidRDefault="000859CB" w:rsidP="000859CB">
      <w:pPr>
        <w:spacing w:after="0" w:line="240" w:lineRule="auto"/>
        <w:jc w:val="both"/>
        <w:rPr>
          <w:rFonts w:ascii="Arial" w:hAnsi="Arial" w:cs="Arial"/>
          <w:sz w:val="24"/>
        </w:rPr>
      </w:pPr>
    </w:p>
    <w:p w:rsidR="000859CB" w:rsidRPr="00457B6E" w:rsidRDefault="000859CB" w:rsidP="000859CB">
      <w:pPr>
        <w:spacing w:after="0" w:line="240" w:lineRule="auto"/>
        <w:jc w:val="both"/>
        <w:rPr>
          <w:rFonts w:ascii="Arial" w:hAnsi="Arial" w:cs="Arial"/>
          <w:sz w:val="24"/>
        </w:rPr>
      </w:pPr>
    </w:p>
    <w:p w:rsidR="000859CB" w:rsidRPr="00457B6E" w:rsidRDefault="000859CB" w:rsidP="000859CB">
      <w:pPr>
        <w:spacing w:after="0" w:line="240" w:lineRule="auto"/>
        <w:jc w:val="both"/>
        <w:rPr>
          <w:rFonts w:ascii="Arial" w:hAnsi="Arial" w:cs="Arial"/>
          <w:sz w:val="24"/>
        </w:rPr>
      </w:pPr>
    </w:p>
    <w:p w:rsidR="000859CB" w:rsidRPr="00457B6E" w:rsidRDefault="000859CB" w:rsidP="000859CB">
      <w:pPr>
        <w:spacing w:after="0" w:line="240" w:lineRule="auto"/>
        <w:rPr>
          <w:rFonts w:ascii="Arial" w:hAnsi="Arial" w:cs="Arial"/>
          <w:sz w:val="28"/>
        </w:rPr>
      </w:pPr>
    </w:p>
    <w:p w:rsidR="000859CB" w:rsidRPr="000859CB" w:rsidRDefault="000859CB" w:rsidP="000859CB">
      <w:pPr>
        <w:rPr>
          <w:rFonts w:ascii="Arial" w:hAnsi="Arial" w:cs="Arial"/>
          <w:sz w:val="24"/>
          <w:szCs w:val="24"/>
        </w:rPr>
      </w:pPr>
    </w:p>
    <w:p w:rsidR="002C5805" w:rsidRDefault="002C5805" w:rsidP="00B643CB">
      <w:pPr>
        <w:spacing w:after="0" w:line="240" w:lineRule="auto"/>
        <w:jc w:val="both"/>
        <w:rPr>
          <w:rFonts w:ascii="Arial" w:hAnsi="Arial" w:cs="Arial"/>
          <w:sz w:val="24"/>
        </w:rPr>
        <w:sectPr w:rsidR="002C5805" w:rsidSect="00B30500">
          <w:footerReference w:type="default" r:id="rId46"/>
          <w:footerReference w:type="first" r:id="rId47"/>
          <w:pgSz w:w="12240" w:h="15840" w:code="1"/>
          <w:pgMar w:top="1296" w:right="1440" w:bottom="1296" w:left="1440" w:header="720" w:footer="432" w:gutter="0"/>
          <w:cols w:space="720"/>
          <w:titlePg/>
          <w:docGrid w:linePitch="360"/>
        </w:sectPr>
      </w:pPr>
    </w:p>
    <w:tbl>
      <w:tblPr>
        <w:tblStyle w:val="TableGrid"/>
        <w:tblW w:w="0" w:type="auto"/>
        <w:shd w:val="clear" w:color="auto" w:fill="17365D" w:themeFill="text2" w:themeFillShade="BF"/>
        <w:tblLook w:val="04A0" w:firstRow="1" w:lastRow="0" w:firstColumn="1" w:lastColumn="0" w:noHBand="0" w:noVBand="1"/>
      </w:tblPr>
      <w:tblGrid>
        <w:gridCol w:w="9576"/>
      </w:tblGrid>
      <w:tr w:rsidR="002C5805" w:rsidTr="008E7A5D">
        <w:trPr>
          <w:trHeight w:val="251"/>
        </w:trPr>
        <w:tc>
          <w:tcPr>
            <w:tcW w:w="9576" w:type="dxa"/>
            <w:shd w:val="clear" w:color="auto" w:fill="17365D" w:themeFill="text2" w:themeFillShade="BF"/>
          </w:tcPr>
          <w:p w:rsidR="002C5805" w:rsidRPr="002C5805" w:rsidRDefault="002C5805" w:rsidP="008E7A5D">
            <w:pPr>
              <w:pStyle w:val="Heading2"/>
              <w:spacing w:before="0"/>
              <w:jc w:val="center"/>
              <w:outlineLvl w:val="1"/>
            </w:pPr>
            <w:bookmarkStart w:id="48" w:name="_Medical_Nutrition_Therapy"/>
            <w:bookmarkStart w:id="49" w:name="_Toc489280891"/>
            <w:bookmarkEnd w:id="48"/>
            <w:r w:rsidRPr="008E7A5D">
              <w:rPr>
                <w:color w:val="FFFFFF" w:themeColor="background1"/>
                <w:sz w:val="32"/>
              </w:rPr>
              <w:lastRenderedPageBreak/>
              <w:t>Medical Nutrition Therapy</w:t>
            </w:r>
            <w:bookmarkEnd w:id="49"/>
          </w:p>
        </w:tc>
      </w:tr>
    </w:tbl>
    <w:p w:rsidR="004E3F2F" w:rsidRDefault="004E3F2F" w:rsidP="00B643CB">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E046F9" w:rsidTr="00E046F9">
        <w:tc>
          <w:tcPr>
            <w:tcW w:w="9576" w:type="dxa"/>
            <w:tcBorders>
              <w:top w:val="nil"/>
              <w:left w:val="nil"/>
              <w:bottom w:val="nil"/>
              <w:right w:val="nil"/>
            </w:tcBorders>
          </w:tcPr>
          <w:p w:rsidR="00E046F9" w:rsidRPr="00876AD1" w:rsidRDefault="00E046F9" w:rsidP="00E046F9">
            <w:pPr>
              <w:rPr>
                <w:rFonts w:cs="Arial"/>
              </w:rPr>
            </w:pPr>
            <w:r w:rsidRPr="00876AD1">
              <w:rPr>
                <w:rFonts w:cs="Arial"/>
                <w:b/>
              </w:rPr>
              <w:t xml:space="preserve">Definition: </w:t>
            </w:r>
          </w:p>
          <w:p w:rsidR="00E046F9" w:rsidRPr="00876AD1" w:rsidRDefault="00E046F9" w:rsidP="00E046F9">
            <w:pPr>
              <w:rPr>
                <w:rFonts w:cs="Arial"/>
              </w:rPr>
            </w:pPr>
            <w:r w:rsidRPr="00876AD1">
              <w:rPr>
                <w:rFonts w:cs="Arial"/>
              </w:rPr>
              <w:t xml:space="preserve">Medical nutrition therapy includes nutrition assessment and screening; dietary/nutrition evaluation; food and/or nutritional supplements per medical provider’s recommendation and nutrition education and/or counseling. These services can be provided in individual and/or group settings and outside of an HIV Outpatient/Ambulatory Health Services visit. </w:t>
            </w:r>
          </w:p>
          <w:p w:rsidR="00E046F9" w:rsidRPr="00876AD1" w:rsidRDefault="00E046F9" w:rsidP="00E046F9">
            <w:pPr>
              <w:rPr>
                <w:rFonts w:cs="Arial"/>
              </w:rPr>
            </w:pPr>
          </w:p>
          <w:p w:rsidR="00E046F9" w:rsidRPr="00876AD1" w:rsidRDefault="00E046F9" w:rsidP="00E046F9">
            <w:pPr>
              <w:rPr>
                <w:rFonts w:cs="Arial"/>
              </w:rPr>
            </w:pPr>
            <w:r w:rsidRPr="00876AD1">
              <w:rPr>
                <w:rFonts w:cs="Arial"/>
              </w:rPr>
              <w:t>All services performed must be pursuant to a medical provider’s referral and based on a nutritional plan developed by a registered dietitian or other licensed nutrition professional. . The EMA limits monthly issuance of nutritional supplement per consumer to no more than 2 cans per day per month unless otherwise indicated by the dietitian.</w:t>
            </w:r>
          </w:p>
          <w:p w:rsidR="00E046F9" w:rsidRPr="00876AD1" w:rsidRDefault="00E046F9" w:rsidP="00E046F9">
            <w:pPr>
              <w:rPr>
                <w:rFonts w:cs="Arial"/>
              </w:rPr>
            </w:pPr>
          </w:p>
          <w:p w:rsidR="00E046F9" w:rsidRDefault="00E046F9" w:rsidP="00E046F9">
            <w:pPr>
              <w:rPr>
                <w:rFonts w:cs="Arial"/>
              </w:rPr>
            </w:pPr>
            <w:r w:rsidRPr="00876AD1">
              <w:rPr>
                <w:rFonts w:cs="Arial"/>
                <w:b/>
              </w:rPr>
              <w:t>Eligibility</w:t>
            </w:r>
            <w:r w:rsidRPr="00876AD1">
              <w:rPr>
                <w:rFonts w:cs="Arial"/>
              </w:rPr>
              <w:t xml:space="preserve">: </w:t>
            </w:r>
          </w:p>
          <w:p w:rsidR="00E046F9" w:rsidRPr="00876AD1" w:rsidRDefault="00E046F9" w:rsidP="00E046F9">
            <w:pPr>
              <w:rPr>
                <w:rFonts w:cs="Arial"/>
              </w:rPr>
            </w:pPr>
            <w:r w:rsidRPr="00876AD1">
              <w:rPr>
                <w:rFonts w:cs="Arial"/>
              </w:rPr>
              <w:t xml:space="preserve">Consumers must have a referral from a medical provider to a licensed registered dietician who develops and implements a nutrition plan. </w:t>
            </w:r>
          </w:p>
          <w:p w:rsidR="00E046F9" w:rsidRDefault="00E046F9" w:rsidP="00E046F9">
            <w:pPr>
              <w:rPr>
                <w:rFonts w:cs="Arial"/>
                <w:b/>
              </w:rPr>
            </w:pPr>
            <w:r w:rsidRPr="00876AD1">
              <w:rPr>
                <w:rFonts w:cs="Arial"/>
              </w:rPr>
              <w:t>Medical Nutrition Therapy providers are expected to comply with the System Wide Standards of Care, as well as these standards.</w:t>
            </w:r>
          </w:p>
        </w:tc>
      </w:tr>
    </w:tbl>
    <w:p w:rsidR="00876AD1" w:rsidRPr="00876AD1" w:rsidRDefault="00876AD1" w:rsidP="00876AD1">
      <w:pPr>
        <w:spacing w:after="0" w:line="240" w:lineRule="auto"/>
        <w:jc w:val="both"/>
        <w:rPr>
          <w:rFonts w:ascii="Arial" w:hAnsi="Arial" w:cs="Arial"/>
          <w:sz w:val="24"/>
        </w:rPr>
      </w:pPr>
    </w:p>
    <w:tbl>
      <w:tblPr>
        <w:tblStyle w:val="TableGrid13"/>
        <w:tblW w:w="0" w:type="auto"/>
        <w:tblLook w:val="04A0" w:firstRow="1" w:lastRow="0" w:firstColumn="1" w:lastColumn="0" w:noHBand="0" w:noVBand="1"/>
      </w:tblPr>
      <w:tblGrid>
        <w:gridCol w:w="9576"/>
      </w:tblGrid>
      <w:tr w:rsidR="00876AD1" w:rsidRPr="00876AD1" w:rsidTr="0069155E">
        <w:tc>
          <w:tcPr>
            <w:tcW w:w="9576" w:type="dxa"/>
            <w:tcBorders>
              <w:top w:val="single" w:sz="12" w:space="0" w:color="auto"/>
              <w:left w:val="nil"/>
              <w:bottom w:val="single" w:sz="12" w:space="0" w:color="auto"/>
              <w:right w:val="nil"/>
            </w:tcBorders>
          </w:tcPr>
          <w:p w:rsidR="00876AD1" w:rsidRPr="00876AD1" w:rsidRDefault="00876AD1" w:rsidP="008E7A5D">
            <w:pPr>
              <w:pStyle w:val="Heading3"/>
              <w:spacing w:before="0"/>
              <w:outlineLvl w:val="2"/>
            </w:pPr>
            <w:bookmarkStart w:id="50" w:name="_Toc489280892"/>
            <w:r w:rsidRPr="008E7A5D">
              <w:rPr>
                <w:sz w:val="28"/>
              </w:rPr>
              <w:t>1.0 Agency Policies and Procedures</w:t>
            </w:r>
            <w:bookmarkEnd w:id="50"/>
          </w:p>
        </w:tc>
      </w:tr>
    </w:tbl>
    <w:p w:rsidR="00876AD1" w:rsidRPr="00876AD1" w:rsidRDefault="00876AD1" w:rsidP="00876AD1">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A921E5" w:rsidTr="00A921E5">
        <w:tc>
          <w:tcPr>
            <w:tcW w:w="9576" w:type="dxa"/>
            <w:tcBorders>
              <w:top w:val="nil"/>
              <w:left w:val="nil"/>
              <w:bottom w:val="nil"/>
              <w:right w:val="nil"/>
            </w:tcBorders>
          </w:tcPr>
          <w:p w:rsidR="00A921E5" w:rsidRDefault="00A921E5" w:rsidP="00A921E5">
            <w:pPr>
              <w:rPr>
                <w:rFonts w:cs="Arial"/>
              </w:rPr>
            </w:pPr>
            <w:r w:rsidRPr="00876AD1">
              <w:rPr>
                <w:rFonts w:cs="Arial"/>
              </w:rPr>
              <w:t>The objective of the Policies and Procedures is to ensure the agencies providing medical nutrition therapy services are in compliance with HRSA national standards and monitoring guidelines.</w:t>
            </w:r>
          </w:p>
        </w:tc>
      </w:tr>
    </w:tbl>
    <w:p w:rsidR="00876AD1" w:rsidRPr="00876AD1" w:rsidRDefault="00876AD1" w:rsidP="00876AD1">
      <w:pPr>
        <w:spacing w:after="0" w:line="240" w:lineRule="auto"/>
        <w:jc w:val="both"/>
        <w:rPr>
          <w:rFonts w:ascii="Arial" w:hAnsi="Arial" w:cs="Arial"/>
          <w:sz w:val="24"/>
        </w:rPr>
      </w:pPr>
    </w:p>
    <w:tbl>
      <w:tblPr>
        <w:tblStyle w:val="TableGrid13"/>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876AD1" w:rsidRPr="00876AD1" w:rsidTr="00C27ED1">
        <w:tc>
          <w:tcPr>
            <w:tcW w:w="9558" w:type="dxa"/>
            <w:gridSpan w:val="4"/>
            <w:shd w:val="clear" w:color="auto" w:fill="17365D" w:themeFill="text2" w:themeFillShade="BF"/>
          </w:tcPr>
          <w:p w:rsidR="00876AD1" w:rsidRPr="00876AD1" w:rsidRDefault="00876AD1" w:rsidP="00C27ED1">
            <w:pPr>
              <w:pStyle w:val="Heading4"/>
              <w:spacing w:before="0"/>
              <w:outlineLvl w:val="3"/>
            </w:pPr>
            <w:r w:rsidRPr="00C27ED1">
              <w:rPr>
                <w:color w:val="FFFFFF" w:themeColor="background1"/>
                <w:sz w:val="28"/>
              </w:rPr>
              <w:t>1.0 Agency Policy and Procedures</w:t>
            </w:r>
          </w:p>
        </w:tc>
      </w:tr>
      <w:tr w:rsidR="00C27ED1" w:rsidRPr="00876AD1" w:rsidTr="00C27ED1">
        <w:tc>
          <w:tcPr>
            <w:tcW w:w="4896" w:type="dxa"/>
            <w:gridSpan w:val="2"/>
            <w:vAlign w:val="center"/>
          </w:tcPr>
          <w:p w:rsidR="00C27ED1" w:rsidRPr="00876AD1" w:rsidRDefault="00C27ED1" w:rsidP="00876AD1">
            <w:pPr>
              <w:jc w:val="center"/>
              <w:rPr>
                <w:b/>
                <w:sz w:val="28"/>
              </w:rPr>
            </w:pPr>
          </w:p>
        </w:tc>
        <w:tc>
          <w:tcPr>
            <w:tcW w:w="4662" w:type="dxa"/>
            <w:gridSpan w:val="2"/>
            <w:vAlign w:val="center"/>
          </w:tcPr>
          <w:p w:rsidR="00C27ED1" w:rsidRPr="00876AD1" w:rsidRDefault="00C27ED1" w:rsidP="00876AD1">
            <w:pPr>
              <w:jc w:val="center"/>
              <w:rPr>
                <w:b/>
                <w:sz w:val="28"/>
              </w:rPr>
            </w:pPr>
          </w:p>
        </w:tc>
      </w:tr>
      <w:tr w:rsidR="00876AD1" w:rsidRPr="00876AD1" w:rsidTr="00C27ED1">
        <w:tc>
          <w:tcPr>
            <w:tcW w:w="4896" w:type="dxa"/>
            <w:gridSpan w:val="2"/>
            <w:tcBorders>
              <w:bottom w:val="single" w:sz="12" w:space="0" w:color="17365D" w:themeColor="text2" w:themeShade="BF"/>
              <w:right w:val="single" w:sz="12" w:space="0" w:color="17365D" w:themeColor="text2" w:themeShade="BF"/>
            </w:tcBorders>
            <w:vAlign w:val="center"/>
          </w:tcPr>
          <w:p w:rsidR="00876AD1" w:rsidRPr="00664D63" w:rsidRDefault="00876AD1" w:rsidP="00876AD1">
            <w:pPr>
              <w:jc w:val="center"/>
              <w:rPr>
                <w:rStyle w:val="BookTitle"/>
              </w:rPr>
            </w:pPr>
            <w:r w:rsidRPr="00664D63">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876AD1" w:rsidRPr="00664D63" w:rsidRDefault="00876AD1" w:rsidP="00876AD1">
            <w:pPr>
              <w:jc w:val="center"/>
              <w:rPr>
                <w:rStyle w:val="BookTitle"/>
              </w:rPr>
            </w:pPr>
            <w:r w:rsidRPr="00664D63">
              <w:rPr>
                <w:rStyle w:val="BookTitle"/>
              </w:rPr>
              <w:t>Measures</w:t>
            </w:r>
          </w:p>
        </w:tc>
      </w:tr>
      <w:tr w:rsidR="00876AD1" w:rsidRPr="00876AD1" w:rsidTr="0069155E">
        <w:tc>
          <w:tcPr>
            <w:tcW w:w="738" w:type="dxa"/>
            <w:tcBorders>
              <w:top w:val="single" w:sz="12" w:space="0" w:color="17365D" w:themeColor="text2" w:themeShade="BF"/>
              <w:bottom w:val="single" w:sz="12" w:space="0" w:color="17365D" w:themeColor="text2" w:themeShade="BF"/>
            </w:tcBorders>
          </w:tcPr>
          <w:p w:rsidR="00876AD1" w:rsidRPr="00664D63" w:rsidRDefault="00876AD1" w:rsidP="00876AD1">
            <w:r w:rsidRPr="00664D63">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76AD1" w:rsidRPr="00664D63" w:rsidRDefault="00876AD1" w:rsidP="00876AD1">
            <w:r w:rsidRPr="00664D63">
              <w:t>The dietitian is nationally credentialed by the Commission on Dietetic Registration (CDER) and current on all required trainings.</w:t>
            </w:r>
          </w:p>
          <w:p w:rsidR="00664D63" w:rsidRPr="00664D63" w:rsidRDefault="00664D63" w:rsidP="00876AD1"/>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r w:rsidRPr="00664D63">
              <w:t>1.1</w:t>
            </w:r>
          </w:p>
        </w:tc>
        <w:tc>
          <w:tcPr>
            <w:tcW w:w="3960" w:type="dxa"/>
            <w:tcBorders>
              <w:top w:val="single" w:sz="12" w:space="0" w:color="17365D" w:themeColor="text2" w:themeShade="BF"/>
              <w:bottom w:val="single" w:sz="12" w:space="0" w:color="17365D" w:themeColor="text2" w:themeShade="BF"/>
            </w:tcBorders>
          </w:tcPr>
          <w:p w:rsidR="00876AD1" w:rsidRPr="00664D63" w:rsidRDefault="00876AD1" w:rsidP="00876AD1">
            <w:r w:rsidRPr="00664D63">
              <w:t>CDR license(s) are current and on file at provider agency.</w:t>
            </w:r>
          </w:p>
        </w:tc>
      </w:tr>
    </w:tbl>
    <w:p w:rsidR="00876AD1" w:rsidRPr="00876AD1" w:rsidRDefault="00876AD1" w:rsidP="00876AD1">
      <w:pPr>
        <w:spacing w:after="0" w:line="240" w:lineRule="auto"/>
        <w:jc w:val="both"/>
        <w:rPr>
          <w:rFonts w:ascii="Arial" w:hAnsi="Arial" w:cs="Arial"/>
          <w:sz w:val="24"/>
        </w:rPr>
      </w:pPr>
    </w:p>
    <w:tbl>
      <w:tblPr>
        <w:tblStyle w:val="TableGrid13"/>
        <w:tblW w:w="0" w:type="auto"/>
        <w:tblLook w:val="04A0" w:firstRow="1" w:lastRow="0" w:firstColumn="1" w:lastColumn="0" w:noHBand="0" w:noVBand="1"/>
      </w:tblPr>
      <w:tblGrid>
        <w:gridCol w:w="9576"/>
      </w:tblGrid>
      <w:tr w:rsidR="00876AD1" w:rsidRPr="00876AD1" w:rsidTr="0069155E">
        <w:tc>
          <w:tcPr>
            <w:tcW w:w="9576" w:type="dxa"/>
            <w:tcBorders>
              <w:top w:val="single" w:sz="12" w:space="0" w:color="auto"/>
              <w:left w:val="nil"/>
              <w:bottom w:val="single" w:sz="12" w:space="0" w:color="auto"/>
              <w:right w:val="nil"/>
            </w:tcBorders>
          </w:tcPr>
          <w:p w:rsidR="00876AD1" w:rsidRPr="00C27ED1" w:rsidRDefault="00876AD1" w:rsidP="008E7A5D">
            <w:pPr>
              <w:pStyle w:val="Heading3"/>
              <w:spacing w:before="0"/>
              <w:outlineLvl w:val="2"/>
            </w:pPr>
            <w:bookmarkStart w:id="51" w:name="_Toc489280893"/>
            <w:r w:rsidRPr="008E7A5D">
              <w:rPr>
                <w:sz w:val="28"/>
              </w:rPr>
              <w:t>2.0 Determination of Services</w:t>
            </w:r>
            <w:bookmarkEnd w:id="51"/>
          </w:p>
        </w:tc>
      </w:tr>
    </w:tbl>
    <w:p w:rsidR="00876AD1" w:rsidRDefault="00876AD1" w:rsidP="00876AD1">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E046F9" w:rsidTr="00E046F9">
        <w:tc>
          <w:tcPr>
            <w:tcW w:w="9576" w:type="dxa"/>
            <w:tcBorders>
              <w:top w:val="nil"/>
              <w:left w:val="nil"/>
              <w:bottom w:val="nil"/>
              <w:right w:val="nil"/>
            </w:tcBorders>
          </w:tcPr>
          <w:p w:rsidR="00E046F9" w:rsidRDefault="00E046F9" w:rsidP="00E046F9">
            <w:pPr>
              <w:rPr>
                <w:rFonts w:cs="Arial"/>
              </w:rPr>
            </w:pPr>
            <w:r w:rsidRPr="00876AD1">
              <w:rPr>
                <w:rFonts w:cs="Arial"/>
              </w:rPr>
              <w:t>The objective of the Determination of Services standards for Medical Nutrition Therapy services is to ensure that service is determined by the needs of each specific consumer, taking into consideration gender, ethnicity and race, co-occurring disorders, and any other psychosocial or economic situations that could impact nutrition status.</w:t>
            </w:r>
          </w:p>
        </w:tc>
      </w:tr>
    </w:tbl>
    <w:p w:rsidR="00E046F9" w:rsidRPr="00876AD1" w:rsidRDefault="00E046F9" w:rsidP="00876AD1">
      <w:pPr>
        <w:spacing w:after="0" w:line="240" w:lineRule="auto"/>
        <w:jc w:val="both"/>
        <w:rPr>
          <w:rFonts w:ascii="Arial" w:hAnsi="Arial" w:cs="Arial"/>
          <w:sz w:val="24"/>
        </w:rPr>
      </w:pPr>
    </w:p>
    <w:p w:rsidR="00664D63" w:rsidRDefault="00664D63" w:rsidP="00876AD1">
      <w:pPr>
        <w:spacing w:after="0" w:line="240" w:lineRule="auto"/>
        <w:jc w:val="both"/>
        <w:rPr>
          <w:rFonts w:ascii="Arial" w:hAnsi="Arial" w:cs="Arial"/>
          <w:sz w:val="24"/>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gridCol w:w="18"/>
      </w:tblGrid>
      <w:tr w:rsidR="00876AD1" w:rsidRPr="00876AD1" w:rsidTr="00E9577A">
        <w:trPr>
          <w:gridAfter w:val="1"/>
          <w:wAfter w:w="18" w:type="dxa"/>
        </w:trPr>
        <w:tc>
          <w:tcPr>
            <w:tcW w:w="9558" w:type="dxa"/>
            <w:gridSpan w:val="4"/>
            <w:shd w:val="clear" w:color="auto" w:fill="17365D" w:themeFill="text2" w:themeFillShade="BF"/>
          </w:tcPr>
          <w:p w:rsidR="00876AD1" w:rsidRPr="00876AD1" w:rsidRDefault="00876AD1" w:rsidP="00C27ED1">
            <w:pPr>
              <w:pStyle w:val="Heading4"/>
              <w:spacing w:before="0"/>
              <w:outlineLvl w:val="3"/>
            </w:pPr>
            <w:r w:rsidRPr="00C27ED1">
              <w:rPr>
                <w:color w:val="FFFFFF" w:themeColor="background1"/>
                <w:sz w:val="28"/>
              </w:rPr>
              <w:lastRenderedPageBreak/>
              <w:t>2.0 Determination of Services</w:t>
            </w:r>
          </w:p>
        </w:tc>
      </w:tr>
      <w:tr w:rsidR="00C27ED1" w:rsidRPr="00876AD1" w:rsidTr="00E9577A">
        <w:trPr>
          <w:gridAfter w:val="1"/>
          <w:wAfter w:w="18" w:type="dxa"/>
        </w:trPr>
        <w:tc>
          <w:tcPr>
            <w:tcW w:w="4896" w:type="dxa"/>
            <w:gridSpan w:val="2"/>
            <w:vAlign w:val="center"/>
          </w:tcPr>
          <w:p w:rsidR="00C27ED1" w:rsidRPr="00876AD1" w:rsidRDefault="00C27ED1" w:rsidP="00876AD1">
            <w:pPr>
              <w:jc w:val="center"/>
              <w:rPr>
                <w:b/>
                <w:sz w:val="28"/>
              </w:rPr>
            </w:pPr>
          </w:p>
        </w:tc>
        <w:tc>
          <w:tcPr>
            <w:tcW w:w="4662" w:type="dxa"/>
            <w:gridSpan w:val="2"/>
            <w:vAlign w:val="center"/>
          </w:tcPr>
          <w:p w:rsidR="00C27ED1" w:rsidRPr="00876AD1" w:rsidRDefault="00C27ED1" w:rsidP="00876AD1">
            <w:pPr>
              <w:jc w:val="center"/>
              <w:rPr>
                <w:b/>
                <w:sz w:val="28"/>
              </w:rPr>
            </w:pPr>
          </w:p>
        </w:tc>
      </w:tr>
      <w:tr w:rsidR="00876AD1" w:rsidRPr="00876AD1" w:rsidTr="00E9577A">
        <w:trPr>
          <w:gridAfter w:val="1"/>
          <w:wAfter w:w="18" w:type="dxa"/>
        </w:trPr>
        <w:tc>
          <w:tcPr>
            <w:tcW w:w="4896" w:type="dxa"/>
            <w:gridSpan w:val="2"/>
            <w:tcBorders>
              <w:bottom w:val="single" w:sz="12" w:space="0" w:color="17365D" w:themeColor="text2" w:themeShade="BF"/>
              <w:right w:val="single" w:sz="12" w:space="0" w:color="17365D" w:themeColor="text2" w:themeShade="BF"/>
            </w:tcBorders>
            <w:vAlign w:val="center"/>
          </w:tcPr>
          <w:p w:rsidR="00876AD1" w:rsidRPr="00664D63" w:rsidRDefault="00876AD1" w:rsidP="00876AD1">
            <w:pPr>
              <w:jc w:val="center"/>
              <w:rPr>
                <w:rStyle w:val="BookTitle"/>
              </w:rPr>
            </w:pPr>
            <w:r w:rsidRPr="00664D63">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876AD1" w:rsidRPr="00664D63" w:rsidRDefault="00876AD1" w:rsidP="00876AD1">
            <w:pPr>
              <w:jc w:val="center"/>
              <w:rPr>
                <w:rStyle w:val="BookTitle"/>
              </w:rPr>
            </w:pPr>
            <w:r w:rsidRPr="00664D63">
              <w:rPr>
                <w:rStyle w:val="BookTitle"/>
              </w:rPr>
              <w:t>Measures</w:t>
            </w:r>
          </w:p>
        </w:tc>
      </w:tr>
      <w:tr w:rsidR="00876AD1" w:rsidRPr="00C27ED1" w:rsidTr="00E9577A">
        <w:trPr>
          <w:gridAfter w:val="1"/>
          <w:wAfter w:w="18" w:type="dxa"/>
        </w:trPr>
        <w:tc>
          <w:tcPr>
            <w:tcW w:w="738"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2.1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76AD1" w:rsidRPr="00664D63" w:rsidRDefault="00876AD1" w:rsidP="00876AD1">
            <w:pPr>
              <w:rPr>
                <w:szCs w:val="22"/>
              </w:rPr>
            </w:pPr>
            <w:r w:rsidRPr="00664D63">
              <w:rPr>
                <w:szCs w:val="22"/>
              </w:rPr>
              <w:t>All consumers receiving Medical Nutrition Therapy will be referred by a primary care physician, nurse practitioners, physician’s assistants or dentist to a dietitian.</w:t>
            </w:r>
          </w:p>
          <w:p w:rsidR="00876AD1" w:rsidRPr="00664D63" w:rsidRDefault="00876AD1" w:rsidP="00876AD1">
            <w:pPr>
              <w:rPr>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2.1</w:t>
            </w:r>
          </w:p>
        </w:tc>
        <w:tc>
          <w:tcPr>
            <w:tcW w:w="3960"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Evidence of referral to dietitian by medical provider in consumer record.</w:t>
            </w:r>
          </w:p>
        </w:tc>
      </w:tr>
      <w:tr w:rsidR="00876AD1" w:rsidRPr="00C27ED1" w:rsidTr="00E9577A">
        <w:trPr>
          <w:gridAfter w:val="1"/>
          <w:wAfter w:w="18" w:type="dxa"/>
        </w:trPr>
        <w:tc>
          <w:tcPr>
            <w:tcW w:w="738"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2.2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76AD1" w:rsidRPr="00664D63" w:rsidRDefault="00876AD1" w:rsidP="00876AD1">
            <w:pPr>
              <w:rPr>
                <w:szCs w:val="22"/>
              </w:rPr>
            </w:pPr>
            <w:r w:rsidRPr="00664D63">
              <w:rPr>
                <w:szCs w:val="22"/>
              </w:rPr>
              <w:t>Consumers will have a comprehensive initial intake and assessment by a qualifi</w:t>
            </w:r>
            <w:r w:rsidR="00C27ED1" w:rsidRPr="00664D63">
              <w:rPr>
                <w:szCs w:val="22"/>
              </w:rPr>
              <w:t>ed dietician. The assessment shall</w:t>
            </w:r>
            <w:r w:rsidRPr="00664D63">
              <w:rPr>
                <w:szCs w:val="22"/>
              </w:rPr>
              <w:t xml:space="preserve"> include:</w:t>
            </w:r>
          </w:p>
          <w:p w:rsidR="00876AD1" w:rsidRPr="00664D63" w:rsidRDefault="00876AD1" w:rsidP="001B1B43">
            <w:pPr>
              <w:pStyle w:val="ListParagraph"/>
              <w:numPr>
                <w:ilvl w:val="0"/>
                <w:numId w:val="102"/>
              </w:numPr>
            </w:pPr>
            <w:r w:rsidRPr="00664D63">
              <w:t>Medical considerations;</w:t>
            </w:r>
          </w:p>
          <w:p w:rsidR="00876AD1" w:rsidRPr="00664D63" w:rsidRDefault="00876AD1" w:rsidP="001B1B43">
            <w:pPr>
              <w:pStyle w:val="ListParagraph"/>
              <w:numPr>
                <w:ilvl w:val="0"/>
                <w:numId w:val="102"/>
              </w:numPr>
            </w:pPr>
            <w:r w:rsidRPr="00664D63">
              <w:t>Food/dietary restrictions, including religions based, allergies, intolerances, interactions between medications, food and complimentary therapies;</w:t>
            </w:r>
          </w:p>
          <w:p w:rsidR="00876AD1" w:rsidRPr="00664D63" w:rsidRDefault="00876AD1" w:rsidP="001B1B43">
            <w:pPr>
              <w:pStyle w:val="ListParagraph"/>
              <w:numPr>
                <w:ilvl w:val="0"/>
                <w:numId w:val="102"/>
              </w:numPr>
            </w:pPr>
            <w:r w:rsidRPr="00664D63">
              <w:t>Diet history and current nutritional status, including current intake;</w:t>
            </w:r>
          </w:p>
          <w:p w:rsidR="00876AD1" w:rsidRPr="00664D63" w:rsidRDefault="00876AD1" w:rsidP="001B1B43">
            <w:pPr>
              <w:pStyle w:val="ListParagraph"/>
              <w:numPr>
                <w:ilvl w:val="0"/>
                <w:numId w:val="102"/>
              </w:numPr>
            </w:pPr>
            <w:r w:rsidRPr="00664D63">
              <w:t>Assessment of nutrition intake and estimated need;</w:t>
            </w:r>
          </w:p>
          <w:p w:rsidR="00876AD1" w:rsidRPr="00664D63" w:rsidRDefault="00876AD1" w:rsidP="001B1B43">
            <w:pPr>
              <w:pStyle w:val="ListParagraph"/>
              <w:numPr>
                <w:ilvl w:val="0"/>
                <w:numId w:val="102"/>
              </w:numPr>
            </w:pPr>
            <w:r w:rsidRPr="00664D63">
              <w:t xml:space="preserve">Macro- and micro-nutritional supplements; </w:t>
            </w:r>
          </w:p>
          <w:p w:rsidR="00876AD1" w:rsidRPr="00664D63" w:rsidRDefault="00876AD1" w:rsidP="001B1B43">
            <w:pPr>
              <w:pStyle w:val="ListParagraph"/>
              <w:numPr>
                <w:ilvl w:val="0"/>
                <w:numId w:val="102"/>
              </w:numPr>
            </w:pPr>
            <w:r w:rsidRPr="00664D63">
              <w:t>Actual height and weight, pre-illness body weight, weight trends, goal weight, ideal body weight and % ideal body weight;</w:t>
            </w:r>
          </w:p>
          <w:p w:rsidR="00876AD1" w:rsidRPr="00664D63" w:rsidRDefault="00876AD1" w:rsidP="001B1B43">
            <w:pPr>
              <w:pStyle w:val="ListParagraph"/>
              <w:numPr>
                <w:ilvl w:val="0"/>
                <w:numId w:val="102"/>
              </w:numPr>
            </w:pPr>
            <w:r w:rsidRPr="00664D63">
              <w:t>Lean body mass and fat;</w:t>
            </w:r>
          </w:p>
          <w:p w:rsidR="00876AD1" w:rsidRPr="00664D63" w:rsidRDefault="00876AD1" w:rsidP="001B1B43">
            <w:pPr>
              <w:pStyle w:val="ListParagraph"/>
              <w:numPr>
                <w:ilvl w:val="0"/>
                <w:numId w:val="102"/>
              </w:numPr>
            </w:pPr>
            <w:r w:rsidRPr="00664D63">
              <w:t>Waist and hip circumferences;</w:t>
            </w:r>
          </w:p>
          <w:p w:rsidR="00876AD1" w:rsidRPr="00664D63" w:rsidRDefault="00876AD1" w:rsidP="001B1B43">
            <w:pPr>
              <w:pStyle w:val="ListParagraph"/>
              <w:numPr>
                <w:ilvl w:val="0"/>
                <w:numId w:val="102"/>
              </w:numPr>
            </w:pPr>
            <w:r w:rsidRPr="00664D63">
              <w:t>Food preparation capacity; and</w:t>
            </w:r>
          </w:p>
          <w:p w:rsidR="00876AD1" w:rsidRPr="00664D63" w:rsidRDefault="00876AD1" w:rsidP="001B1B43">
            <w:pPr>
              <w:pStyle w:val="ListParagraph"/>
              <w:numPr>
                <w:ilvl w:val="0"/>
                <w:numId w:val="102"/>
              </w:numPr>
            </w:pPr>
            <w:r w:rsidRPr="00664D63">
              <w:t>Food preferences and cultural components of food.</w:t>
            </w:r>
          </w:p>
          <w:p w:rsidR="00876AD1" w:rsidRPr="00664D63" w:rsidRDefault="00876AD1" w:rsidP="00876AD1">
            <w:pPr>
              <w:pStyle w:val="ListParagraph"/>
              <w:rPr>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2.2</w:t>
            </w:r>
          </w:p>
        </w:tc>
        <w:tc>
          <w:tcPr>
            <w:tcW w:w="3960"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Signed and dated assessment in consumer record</w:t>
            </w:r>
          </w:p>
        </w:tc>
      </w:tr>
      <w:tr w:rsidR="00876AD1" w:rsidRPr="00C27ED1" w:rsidTr="00E9577A">
        <w:trPr>
          <w:gridAfter w:val="1"/>
          <w:wAfter w:w="18" w:type="dxa"/>
        </w:trPr>
        <w:tc>
          <w:tcPr>
            <w:tcW w:w="738"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2.3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76AD1" w:rsidRPr="00664D63" w:rsidRDefault="00876AD1" w:rsidP="00876AD1">
            <w:pPr>
              <w:rPr>
                <w:szCs w:val="22"/>
              </w:rPr>
            </w:pPr>
            <w:r w:rsidRPr="00664D63">
              <w:rPr>
                <w:szCs w:val="22"/>
              </w:rPr>
              <w:t>Ongoing nutritional services will match appropriate level of care as delineated below:</w:t>
            </w:r>
          </w:p>
          <w:p w:rsidR="00876AD1" w:rsidRPr="00664D63" w:rsidRDefault="00876AD1" w:rsidP="001B1B43">
            <w:pPr>
              <w:pStyle w:val="ListParagraph"/>
              <w:numPr>
                <w:ilvl w:val="0"/>
                <w:numId w:val="55"/>
              </w:numPr>
            </w:pPr>
            <w:r w:rsidRPr="00664D63">
              <w:t>Level 1 – one to two times per year;</w:t>
            </w:r>
          </w:p>
          <w:p w:rsidR="00876AD1" w:rsidRPr="00664D63" w:rsidRDefault="00876AD1" w:rsidP="001B1B43">
            <w:pPr>
              <w:pStyle w:val="ListParagraph"/>
              <w:numPr>
                <w:ilvl w:val="0"/>
                <w:numId w:val="55"/>
              </w:numPr>
            </w:pPr>
            <w:r w:rsidRPr="00664D63">
              <w:t xml:space="preserve">Level 2 – two to six times per </w:t>
            </w:r>
            <w:r w:rsidRPr="00664D63">
              <w:lastRenderedPageBreak/>
              <w:t>year;</w:t>
            </w:r>
          </w:p>
          <w:p w:rsidR="00876AD1" w:rsidRPr="00664D63" w:rsidRDefault="00876AD1" w:rsidP="001B1B43">
            <w:pPr>
              <w:pStyle w:val="ListParagraph"/>
              <w:numPr>
                <w:ilvl w:val="0"/>
                <w:numId w:val="55"/>
              </w:numPr>
            </w:pPr>
            <w:r w:rsidRPr="00664D63">
              <w:t xml:space="preserve">Level 3 – two to six times per year; and </w:t>
            </w:r>
          </w:p>
          <w:p w:rsidR="00876AD1" w:rsidRPr="00664D63" w:rsidRDefault="00876AD1" w:rsidP="001B1B43">
            <w:pPr>
              <w:pStyle w:val="ListParagraph"/>
              <w:numPr>
                <w:ilvl w:val="0"/>
                <w:numId w:val="55"/>
              </w:numPr>
            </w:pPr>
            <w:r w:rsidRPr="00664D63">
              <w:t>Level 4 – two to six times per year.</w:t>
            </w:r>
          </w:p>
          <w:p w:rsidR="00876AD1" w:rsidRPr="00664D63" w:rsidRDefault="00876AD1" w:rsidP="00876AD1">
            <w:pPr>
              <w:rPr>
                <w:szCs w:val="22"/>
              </w:rPr>
            </w:pPr>
            <w:r w:rsidRPr="00664D63">
              <w:rPr>
                <w:szCs w:val="22"/>
              </w:rPr>
              <w:t>In children and adolescents:</w:t>
            </w:r>
          </w:p>
          <w:p w:rsidR="00876AD1" w:rsidRPr="00664D63" w:rsidRDefault="00876AD1" w:rsidP="001B1B43">
            <w:pPr>
              <w:pStyle w:val="ListParagraph"/>
              <w:numPr>
                <w:ilvl w:val="0"/>
                <w:numId w:val="56"/>
              </w:numPr>
            </w:pPr>
            <w:r w:rsidRPr="00664D63">
              <w:t>CDC Category N &amp; A – one to four times per year;</w:t>
            </w:r>
          </w:p>
          <w:p w:rsidR="00876AD1" w:rsidRPr="00664D63" w:rsidRDefault="00876AD1" w:rsidP="001B1B43">
            <w:pPr>
              <w:pStyle w:val="ListParagraph"/>
              <w:numPr>
                <w:ilvl w:val="0"/>
                <w:numId w:val="56"/>
              </w:numPr>
            </w:pPr>
            <w:r w:rsidRPr="00664D63">
              <w:t xml:space="preserve">CDC Category B – four to twelve  times per year; and </w:t>
            </w:r>
          </w:p>
          <w:p w:rsidR="00876AD1" w:rsidRPr="00664D63" w:rsidRDefault="00876AD1" w:rsidP="001B1B43">
            <w:pPr>
              <w:pStyle w:val="ListParagraph"/>
              <w:numPr>
                <w:ilvl w:val="0"/>
                <w:numId w:val="56"/>
              </w:numPr>
            </w:pPr>
            <w:r w:rsidRPr="00664D63">
              <w:t>CDC Category C – six to twelve times per year.</w:t>
            </w:r>
          </w:p>
          <w:p w:rsidR="00C27ED1" w:rsidRPr="00664D63" w:rsidRDefault="00C27ED1" w:rsidP="00C27ED1">
            <w:pPr>
              <w:pStyle w:val="ListParagraph"/>
              <w:rPr>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lastRenderedPageBreak/>
              <w:t>2.3</w:t>
            </w:r>
          </w:p>
        </w:tc>
        <w:tc>
          <w:tcPr>
            <w:tcW w:w="3960"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Level of care documented in consumer record</w:t>
            </w:r>
          </w:p>
        </w:tc>
      </w:tr>
      <w:tr w:rsidR="00876AD1" w:rsidRPr="00C27ED1" w:rsidTr="00E9577A">
        <w:trPr>
          <w:gridAfter w:val="1"/>
          <w:wAfter w:w="18" w:type="dxa"/>
        </w:trPr>
        <w:tc>
          <w:tcPr>
            <w:tcW w:w="738"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lastRenderedPageBreak/>
              <w:t>2.4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76AD1" w:rsidRPr="00664D63" w:rsidRDefault="00876AD1" w:rsidP="00876AD1">
            <w:pPr>
              <w:rPr>
                <w:szCs w:val="22"/>
              </w:rPr>
            </w:pPr>
            <w:r w:rsidRPr="00664D63">
              <w:rPr>
                <w:szCs w:val="22"/>
              </w:rPr>
              <w:t>Dietician follow up should include at a minimum:</w:t>
            </w:r>
          </w:p>
          <w:p w:rsidR="00876AD1" w:rsidRPr="00664D63" w:rsidRDefault="00876AD1" w:rsidP="001B1B43">
            <w:pPr>
              <w:pStyle w:val="ListParagraph"/>
              <w:numPr>
                <w:ilvl w:val="0"/>
                <w:numId w:val="57"/>
              </w:numPr>
            </w:pPr>
            <w:r w:rsidRPr="00664D63">
              <w:t>Relevant laboratory data;</w:t>
            </w:r>
          </w:p>
          <w:p w:rsidR="00876AD1" w:rsidRPr="00664D63" w:rsidRDefault="00876AD1" w:rsidP="001B1B43">
            <w:pPr>
              <w:pStyle w:val="ListParagraph"/>
              <w:numPr>
                <w:ilvl w:val="0"/>
                <w:numId w:val="57"/>
              </w:numPr>
            </w:pPr>
            <w:r w:rsidRPr="00664D63">
              <w:t>Nutrition prescription or desired outcome;</w:t>
            </w:r>
          </w:p>
          <w:p w:rsidR="00876AD1" w:rsidRPr="00664D63" w:rsidRDefault="00876AD1" w:rsidP="001B1B43">
            <w:pPr>
              <w:pStyle w:val="ListParagraph"/>
              <w:numPr>
                <w:ilvl w:val="0"/>
                <w:numId w:val="57"/>
              </w:numPr>
            </w:pPr>
            <w:r w:rsidRPr="00664D63">
              <w:t>Diagnosis and medical history;</w:t>
            </w:r>
          </w:p>
          <w:p w:rsidR="00876AD1" w:rsidRPr="00664D63" w:rsidRDefault="00876AD1" w:rsidP="001B1B43">
            <w:pPr>
              <w:pStyle w:val="ListParagraph"/>
              <w:numPr>
                <w:ilvl w:val="0"/>
                <w:numId w:val="57"/>
              </w:numPr>
            </w:pPr>
            <w:r w:rsidRPr="00664D63">
              <w:t>Medications;</w:t>
            </w:r>
          </w:p>
          <w:p w:rsidR="00876AD1" w:rsidRPr="00664D63" w:rsidRDefault="00876AD1" w:rsidP="001B1B43">
            <w:pPr>
              <w:pStyle w:val="ListParagraph"/>
              <w:numPr>
                <w:ilvl w:val="0"/>
                <w:numId w:val="57"/>
              </w:numPr>
            </w:pPr>
            <w:r w:rsidRPr="00664D63">
              <w:t>Alternative and complementary therapies;</w:t>
            </w:r>
          </w:p>
          <w:p w:rsidR="00876AD1" w:rsidRPr="00664D63" w:rsidRDefault="00876AD1" w:rsidP="001B1B43">
            <w:pPr>
              <w:pStyle w:val="ListParagraph"/>
              <w:numPr>
                <w:ilvl w:val="0"/>
                <w:numId w:val="57"/>
              </w:numPr>
            </w:pPr>
            <w:r w:rsidRPr="00664D63">
              <w:t>Karnofsky score;</w:t>
            </w:r>
          </w:p>
          <w:p w:rsidR="00876AD1" w:rsidRPr="00664D63" w:rsidRDefault="00876AD1" w:rsidP="001B1B43">
            <w:pPr>
              <w:pStyle w:val="ListParagraph"/>
              <w:numPr>
                <w:ilvl w:val="0"/>
                <w:numId w:val="57"/>
              </w:numPr>
            </w:pPr>
            <w:r w:rsidRPr="00664D63">
              <w:t>Living situation; and</w:t>
            </w:r>
          </w:p>
          <w:p w:rsidR="00876AD1" w:rsidRPr="00664D63" w:rsidRDefault="00876AD1" w:rsidP="001B1B43">
            <w:pPr>
              <w:pStyle w:val="ListParagraph"/>
              <w:numPr>
                <w:ilvl w:val="0"/>
                <w:numId w:val="57"/>
              </w:numPr>
            </w:pPr>
            <w:r w:rsidRPr="00664D63">
              <w:t>Any other relevant information that may impact a consumer’s ability to care for him or herself.</w:t>
            </w:r>
          </w:p>
          <w:p w:rsidR="00876AD1" w:rsidRPr="00664D63" w:rsidRDefault="00876AD1" w:rsidP="00876AD1">
            <w:pPr>
              <w:pStyle w:val="ListParagraph"/>
              <w:jc w:val="left"/>
              <w:rPr>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2.4</w:t>
            </w:r>
          </w:p>
        </w:tc>
        <w:tc>
          <w:tcPr>
            <w:tcW w:w="3960"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Required information provided to distributor and documented in consumer record</w:t>
            </w:r>
          </w:p>
        </w:tc>
      </w:tr>
      <w:tr w:rsidR="00876AD1" w:rsidRPr="00C27ED1" w:rsidTr="00E9577A">
        <w:trPr>
          <w:gridAfter w:val="1"/>
          <w:wAfter w:w="18" w:type="dxa"/>
        </w:trPr>
        <w:tc>
          <w:tcPr>
            <w:tcW w:w="738"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2.5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76AD1" w:rsidRPr="00664D63" w:rsidRDefault="00876AD1" w:rsidP="00876AD1">
            <w:pPr>
              <w:rPr>
                <w:szCs w:val="22"/>
              </w:rPr>
            </w:pPr>
            <w:r w:rsidRPr="00664D63">
              <w:rPr>
                <w:szCs w:val="22"/>
              </w:rPr>
              <w:t>A care plan based on the initial assessment and includes:</w:t>
            </w:r>
          </w:p>
          <w:p w:rsidR="00876AD1" w:rsidRPr="00664D63" w:rsidRDefault="00876AD1" w:rsidP="001B1B43">
            <w:pPr>
              <w:pStyle w:val="ListParagraph"/>
              <w:numPr>
                <w:ilvl w:val="0"/>
                <w:numId w:val="58"/>
              </w:numPr>
            </w:pPr>
            <w:r w:rsidRPr="00664D63">
              <w:t>Developing and implementing a nutrition care plan;</w:t>
            </w:r>
          </w:p>
          <w:p w:rsidR="00876AD1" w:rsidRPr="00664D63" w:rsidRDefault="00876AD1" w:rsidP="001B1B43">
            <w:pPr>
              <w:pStyle w:val="ListParagraph"/>
              <w:numPr>
                <w:ilvl w:val="0"/>
                <w:numId w:val="58"/>
              </w:numPr>
            </w:pPr>
            <w:r w:rsidRPr="00664D63">
              <w:t>Providing nutrition counseling and nutrition therapy;</w:t>
            </w:r>
          </w:p>
          <w:p w:rsidR="00876AD1" w:rsidRPr="00664D63" w:rsidRDefault="00876AD1" w:rsidP="001B1B43">
            <w:pPr>
              <w:pStyle w:val="ListParagraph"/>
              <w:numPr>
                <w:ilvl w:val="0"/>
                <w:numId w:val="58"/>
              </w:numPr>
            </w:pPr>
            <w:r w:rsidRPr="00664D63">
              <w:t>Distributing nutritional supplements, when appropriate;</w:t>
            </w:r>
          </w:p>
          <w:p w:rsidR="00876AD1" w:rsidRPr="00664D63" w:rsidRDefault="00876AD1" w:rsidP="001B1B43">
            <w:pPr>
              <w:pStyle w:val="ListParagraph"/>
              <w:numPr>
                <w:ilvl w:val="0"/>
                <w:numId w:val="58"/>
              </w:numPr>
            </w:pPr>
            <w:r w:rsidRPr="00664D63">
              <w:t>Providing nutrition and HIV trainings to consumers and their provider; and</w:t>
            </w:r>
          </w:p>
          <w:p w:rsidR="00876AD1" w:rsidRPr="00664D63" w:rsidRDefault="00876AD1" w:rsidP="001B1B43">
            <w:pPr>
              <w:pStyle w:val="ListParagraph"/>
              <w:numPr>
                <w:ilvl w:val="0"/>
                <w:numId w:val="58"/>
              </w:numPr>
              <w:rPr>
                <w:szCs w:val="22"/>
              </w:rPr>
            </w:pPr>
            <w:r w:rsidRPr="00664D63">
              <w:t>Distributing nutrition related education materials to consumers.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2.5</w:t>
            </w:r>
          </w:p>
        </w:tc>
        <w:tc>
          <w:tcPr>
            <w:tcW w:w="3960"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Signed and dated care plan in consumer record.</w:t>
            </w:r>
          </w:p>
        </w:tc>
      </w:tr>
      <w:tr w:rsidR="00876AD1" w:rsidRPr="00C27ED1" w:rsidTr="00E9577A">
        <w:trPr>
          <w:gridAfter w:val="1"/>
          <w:wAfter w:w="18" w:type="dxa"/>
        </w:trPr>
        <w:tc>
          <w:tcPr>
            <w:tcW w:w="738"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lastRenderedPageBreak/>
              <w:t>2.6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C27ED1" w:rsidRPr="00664D63" w:rsidRDefault="00876AD1" w:rsidP="00876AD1">
            <w:pPr>
              <w:rPr>
                <w:szCs w:val="22"/>
              </w:rPr>
            </w:pPr>
            <w:r w:rsidRPr="00664D63">
              <w:rPr>
                <w:szCs w:val="22"/>
              </w:rPr>
              <w:t>Nutrition monitoring and evaluation by the dietitian shall be conducted to determine the degree to which progress is made toward achieving the goals of the care plan.</w:t>
            </w:r>
          </w:p>
          <w:p w:rsidR="00C27ED1" w:rsidRPr="00664D63" w:rsidRDefault="00C27ED1" w:rsidP="00876AD1">
            <w:pPr>
              <w:rPr>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2.6</w:t>
            </w:r>
          </w:p>
        </w:tc>
        <w:tc>
          <w:tcPr>
            <w:tcW w:w="3960" w:type="dxa"/>
            <w:tcBorders>
              <w:top w:val="single" w:sz="12" w:space="0" w:color="17365D" w:themeColor="text2" w:themeShade="BF"/>
              <w:bottom w:val="single" w:sz="12" w:space="0" w:color="17365D" w:themeColor="text2" w:themeShade="BF"/>
            </w:tcBorders>
          </w:tcPr>
          <w:p w:rsidR="00876AD1" w:rsidRPr="00664D63" w:rsidRDefault="00876AD1" w:rsidP="00876AD1">
            <w:pPr>
              <w:rPr>
                <w:szCs w:val="22"/>
              </w:rPr>
            </w:pPr>
            <w:r w:rsidRPr="00664D63">
              <w:rPr>
                <w:szCs w:val="22"/>
              </w:rPr>
              <w:t>Monitoring and evaluation results documented in the consumer record.</w:t>
            </w:r>
          </w:p>
        </w:tc>
      </w:tr>
      <w:tr w:rsidR="00C27ED1" w:rsidRPr="00876AD1" w:rsidTr="00E04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5"/>
            <w:tcBorders>
              <w:top w:val="single" w:sz="12" w:space="0" w:color="auto"/>
              <w:left w:val="nil"/>
              <w:bottom w:val="nil"/>
              <w:right w:val="nil"/>
            </w:tcBorders>
          </w:tcPr>
          <w:p w:rsidR="00C27ED1" w:rsidRPr="008E7A5D" w:rsidRDefault="00C27ED1" w:rsidP="008E7A5D">
            <w:pPr>
              <w:pStyle w:val="Heading3"/>
              <w:spacing w:before="0"/>
              <w:outlineLvl w:val="2"/>
              <w:rPr>
                <w:sz w:val="28"/>
              </w:rPr>
            </w:pPr>
            <w:bookmarkStart w:id="52" w:name="_Toc489280894"/>
            <w:r w:rsidRPr="008E7A5D">
              <w:rPr>
                <w:sz w:val="28"/>
              </w:rPr>
              <w:t>3.0 Services to be Provided</w:t>
            </w:r>
            <w:bookmarkEnd w:id="52"/>
          </w:p>
        </w:tc>
      </w:tr>
    </w:tbl>
    <w:p w:rsidR="00DE64CF" w:rsidRDefault="00DE64CF" w:rsidP="00DE64CF">
      <w:pPr>
        <w:spacing w:after="0" w:line="240" w:lineRule="auto"/>
      </w:pPr>
    </w:p>
    <w:tbl>
      <w:tblPr>
        <w:tblStyle w:val="TableGrid"/>
        <w:tblW w:w="0" w:type="auto"/>
        <w:tblLook w:val="04A0" w:firstRow="1" w:lastRow="0" w:firstColumn="1" w:lastColumn="0" w:noHBand="0" w:noVBand="1"/>
      </w:tblPr>
      <w:tblGrid>
        <w:gridCol w:w="9576"/>
      </w:tblGrid>
      <w:tr w:rsidR="00E046F9" w:rsidTr="00E046F9">
        <w:tc>
          <w:tcPr>
            <w:tcW w:w="9576" w:type="dxa"/>
            <w:tcBorders>
              <w:top w:val="nil"/>
              <w:left w:val="nil"/>
              <w:bottom w:val="nil"/>
              <w:right w:val="nil"/>
            </w:tcBorders>
          </w:tcPr>
          <w:p w:rsidR="00E046F9" w:rsidRDefault="00E046F9" w:rsidP="00DE64CF">
            <w:pPr>
              <w:rPr>
                <w:rFonts w:cs="Arial"/>
              </w:rPr>
            </w:pPr>
            <w:r w:rsidRPr="00876AD1">
              <w:rPr>
                <w:rFonts w:cs="Arial"/>
              </w:rPr>
              <w:t>The objective of the standards for services to be provided is to ensure that all agencies shall ensure the following services are provided to eligible consumers of the Ryan White Part A EMA.</w:t>
            </w:r>
          </w:p>
        </w:tc>
      </w:tr>
    </w:tbl>
    <w:p w:rsidR="00C27ED1" w:rsidRDefault="00C27ED1" w:rsidP="00C27ED1">
      <w:pPr>
        <w:spacing w:after="0" w:line="240" w:lineRule="auto"/>
        <w:jc w:val="both"/>
        <w:rPr>
          <w:rFonts w:ascii="Arial" w:hAnsi="Arial" w:cs="Arial"/>
          <w:sz w:val="24"/>
        </w:rPr>
      </w:pPr>
    </w:p>
    <w:tbl>
      <w:tblPr>
        <w:tblStyle w:val="TableGrid13"/>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876AD1" w:rsidRPr="00876AD1" w:rsidTr="0069155E">
        <w:tc>
          <w:tcPr>
            <w:tcW w:w="9558" w:type="dxa"/>
            <w:gridSpan w:val="6"/>
            <w:shd w:val="clear" w:color="auto" w:fill="17365D" w:themeFill="text2" w:themeFillShade="BF"/>
          </w:tcPr>
          <w:p w:rsidR="00876AD1" w:rsidRPr="00876AD1" w:rsidRDefault="00876AD1" w:rsidP="00C27ED1">
            <w:pPr>
              <w:pStyle w:val="Heading4"/>
              <w:spacing w:before="0"/>
              <w:outlineLvl w:val="3"/>
            </w:pPr>
            <w:bookmarkStart w:id="53" w:name="OLE_LINK4"/>
            <w:r w:rsidRPr="00C27ED1">
              <w:rPr>
                <w:color w:val="FFFFFF" w:themeColor="background1"/>
                <w:sz w:val="28"/>
              </w:rPr>
              <w:t>3.0 Services to be Provided</w:t>
            </w:r>
          </w:p>
        </w:tc>
      </w:tr>
      <w:tr w:rsidR="00876AD1" w:rsidRPr="00876AD1" w:rsidTr="0069155E">
        <w:tc>
          <w:tcPr>
            <w:tcW w:w="720" w:type="dxa"/>
          </w:tcPr>
          <w:p w:rsidR="00876AD1" w:rsidRPr="00876AD1" w:rsidRDefault="00876AD1" w:rsidP="00876AD1"/>
        </w:tc>
        <w:tc>
          <w:tcPr>
            <w:tcW w:w="4176" w:type="dxa"/>
            <w:gridSpan w:val="2"/>
          </w:tcPr>
          <w:p w:rsidR="00876AD1" w:rsidRPr="00876AD1" w:rsidRDefault="00876AD1" w:rsidP="00876AD1"/>
        </w:tc>
        <w:tc>
          <w:tcPr>
            <w:tcW w:w="720" w:type="dxa"/>
            <w:gridSpan w:val="2"/>
          </w:tcPr>
          <w:p w:rsidR="00876AD1" w:rsidRPr="00876AD1" w:rsidRDefault="00876AD1" w:rsidP="00876AD1"/>
        </w:tc>
        <w:tc>
          <w:tcPr>
            <w:tcW w:w="3942" w:type="dxa"/>
          </w:tcPr>
          <w:p w:rsidR="00876AD1" w:rsidRPr="00876AD1" w:rsidRDefault="00876AD1" w:rsidP="00876AD1"/>
        </w:tc>
      </w:tr>
      <w:tr w:rsidR="00876AD1" w:rsidRPr="00876AD1" w:rsidTr="0069155E">
        <w:tc>
          <w:tcPr>
            <w:tcW w:w="4896" w:type="dxa"/>
            <w:gridSpan w:val="3"/>
            <w:tcBorders>
              <w:bottom w:val="single" w:sz="12" w:space="0" w:color="17365D" w:themeColor="text2" w:themeShade="BF"/>
              <w:right w:val="single" w:sz="12" w:space="0" w:color="17365D" w:themeColor="text2" w:themeShade="BF"/>
            </w:tcBorders>
            <w:vAlign w:val="center"/>
          </w:tcPr>
          <w:p w:rsidR="00876AD1" w:rsidRPr="00664D63" w:rsidRDefault="00876AD1" w:rsidP="00876AD1">
            <w:pPr>
              <w:jc w:val="center"/>
              <w:rPr>
                <w:rStyle w:val="BookTitle"/>
              </w:rPr>
            </w:pPr>
            <w:r w:rsidRPr="00664D63">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876AD1" w:rsidRPr="00664D63" w:rsidRDefault="00876AD1" w:rsidP="00876AD1">
            <w:pPr>
              <w:jc w:val="center"/>
              <w:rPr>
                <w:rStyle w:val="BookTitle"/>
              </w:rPr>
            </w:pPr>
            <w:r w:rsidRPr="00664D63">
              <w:rPr>
                <w:rStyle w:val="BookTitle"/>
              </w:rPr>
              <w:t>Measures</w:t>
            </w:r>
          </w:p>
        </w:tc>
      </w:tr>
      <w:tr w:rsidR="00876AD1" w:rsidRPr="00876AD1" w:rsidTr="0069155E">
        <w:tc>
          <w:tcPr>
            <w:tcW w:w="738" w:type="dxa"/>
            <w:gridSpan w:val="2"/>
            <w:tcBorders>
              <w:top w:val="single" w:sz="12" w:space="0" w:color="17365D" w:themeColor="text2" w:themeShade="BF"/>
              <w:bottom w:val="single" w:sz="12" w:space="0" w:color="17365D" w:themeColor="text2" w:themeShade="BF"/>
            </w:tcBorders>
          </w:tcPr>
          <w:p w:rsidR="00876AD1" w:rsidRPr="00664D63" w:rsidRDefault="00876AD1" w:rsidP="00876AD1">
            <w:r w:rsidRPr="00664D63">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76AD1" w:rsidRPr="00664D63" w:rsidRDefault="00876AD1" w:rsidP="00876AD1">
            <w:r w:rsidRPr="00664D63">
              <w:t>Providers shall ensure that consumers receive the following services following HRSA Guidelines:</w:t>
            </w:r>
          </w:p>
          <w:p w:rsidR="00876AD1" w:rsidRPr="00664D63" w:rsidRDefault="00876AD1" w:rsidP="003D44F2">
            <w:pPr>
              <w:numPr>
                <w:ilvl w:val="0"/>
                <w:numId w:val="11"/>
              </w:numPr>
            </w:pPr>
            <w:r w:rsidRPr="00664D63">
              <w:t>A nutrition assessment;</w:t>
            </w:r>
          </w:p>
          <w:p w:rsidR="00876AD1" w:rsidRPr="00664D63" w:rsidRDefault="00876AD1" w:rsidP="003D44F2">
            <w:pPr>
              <w:numPr>
                <w:ilvl w:val="0"/>
                <w:numId w:val="11"/>
              </w:numPr>
            </w:pPr>
            <w:r w:rsidRPr="00664D63">
              <w:t>A nutrition care plan developed and implemented;</w:t>
            </w:r>
          </w:p>
          <w:p w:rsidR="00876AD1" w:rsidRPr="00664D63" w:rsidRDefault="00876AD1" w:rsidP="003D44F2">
            <w:pPr>
              <w:numPr>
                <w:ilvl w:val="0"/>
                <w:numId w:val="11"/>
              </w:numPr>
            </w:pPr>
            <w:r w:rsidRPr="00664D63">
              <w:t>Nutrition counseling and nutrition therapy, if appropriate;</w:t>
            </w:r>
          </w:p>
          <w:p w:rsidR="00876AD1" w:rsidRPr="00664D63" w:rsidRDefault="00876AD1" w:rsidP="003D44F2">
            <w:pPr>
              <w:numPr>
                <w:ilvl w:val="0"/>
                <w:numId w:val="11"/>
              </w:numPr>
            </w:pPr>
            <w:r w:rsidRPr="00664D63">
              <w:t>Nutritional supplements prescription when appropriate.</w:t>
            </w:r>
          </w:p>
          <w:p w:rsidR="00876AD1" w:rsidRPr="00664D63" w:rsidRDefault="00876AD1" w:rsidP="00876AD1">
            <w:pPr>
              <w:ind w:left="360"/>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r w:rsidRPr="00664D63">
              <w:t>3.1</w:t>
            </w:r>
          </w:p>
        </w:tc>
        <w:tc>
          <w:tcPr>
            <w:tcW w:w="3960" w:type="dxa"/>
            <w:gridSpan w:val="2"/>
            <w:tcBorders>
              <w:top w:val="single" w:sz="12" w:space="0" w:color="17365D" w:themeColor="text2" w:themeShade="BF"/>
              <w:bottom w:val="single" w:sz="12" w:space="0" w:color="17365D" w:themeColor="text2" w:themeShade="BF"/>
            </w:tcBorders>
          </w:tcPr>
          <w:p w:rsidR="00876AD1" w:rsidRPr="00664D63" w:rsidRDefault="00876AD1" w:rsidP="00876AD1">
            <w:r w:rsidRPr="00664D63">
              <w:t>Assessment and treatment plan in consumer record.</w:t>
            </w:r>
          </w:p>
        </w:tc>
      </w:tr>
      <w:bookmarkEnd w:id="53"/>
    </w:tbl>
    <w:p w:rsidR="00876AD1" w:rsidRPr="00876AD1" w:rsidRDefault="00876AD1" w:rsidP="00876AD1">
      <w:pPr>
        <w:spacing w:after="0" w:line="240" w:lineRule="auto"/>
        <w:jc w:val="both"/>
        <w:rPr>
          <w:rFonts w:ascii="Arial" w:hAnsi="Arial" w:cs="Arial"/>
          <w:sz w:val="24"/>
        </w:rPr>
      </w:pPr>
    </w:p>
    <w:tbl>
      <w:tblPr>
        <w:tblStyle w:val="TableGrid13"/>
        <w:tblW w:w="0" w:type="auto"/>
        <w:tblLook w:val="04A0" w:firstRow="1" w:lastRow="0" w:firstColumn="1" w:lastColumn="0" w:noHBand="0" w:noVBand="1"/>
      </w:tblPr>
      <w:tblGrid>
        <w:gridCol w:w="9576"/>
      </w:tblGrid>
      <w:tr w:rsidR="00876AD1" w:rsidRPr="00876AD1" w:rsidTr="0069155E">
        <w:tc>
          <w:tcPr>
            <w:tcW w:w="9576" w:type="dxa"/>
            <w:tcBorders>
              <w:top w:val="single" w:sz="12" w:space="0" w:color="auto"/>
              <w:left w:val="nil"/>
              <w:bottom w:val="single" w:sz="12" w:space="0" w:color="auto"/>
              <w:right w:val="nil"/>
            </w:tcBorders>
          </w:tcPr>
          <w:p w:rsidR="00876AD1" w:rsidRPr="00C27ED1" w:rsidRDefault="00876AD1" w:rsidP="00C27ED1">
            <w:pPr>
              <w:pStyle w:val="Heading3"/>
              <w:spacing w:before="0"/>
              <w:outlineLvl w:val="2"/>
              <w:rPr>
                <w:sz w:val="28"/>
              </w:rPr>
            </w:pPr>
            <w:bookmarkStart w:id="54" w:name="_Toc489280895"/>
            <w:r w:rsidRPr="00C27ED1">
              <w:rPr>
                <w:sz w:val="28"/>
              </w:rPr>
              <w:t>4.0 Nutrition Interventions</w:t>
            </w:r>
            <w:bookmarkEnd w:id="54"/>
          </w:p>
        </w:tc>
      </w:tr>
    </w:tbl>
    <w:p w:rsidR="00876AD1" w:rsidRPr="00876AD1" w:rsidRDefault="00876AD1" w:rsidP="00876AD1">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E046F9" w:rsidTr="00E046F9">
        <w:tc>
          <w:tcPr>
            <w:tcW w:w="9576" w:type="dxa"/>
            <w:tcBorders>
              <w:top w:val="nil"/>
              <w:left w:val="nil"/>
              <w:bottom w:val="nil"/>
              <w:right w:val="nil"/>
            </w:tcBorders>
          </w:tcPr>
          <w:p w:rsidR="00E046F9" w:rsidRDefault="00E046F9" w:rsidP="00E046F9">
            <w:pPr>
              <w:rPr>
                <w:rFonts w:cs="Arial"/>
              </w:rPr>
            </w:pPr>
            <w:r w:rsidRPr="00876AD1">
              <w:rPr>
                <w:rFonts w:cs="Arial"/>
              </w:rPr>
              <w:t>The objective of the standards for nutrition interventions is to ensure that nutritional supplements deemed medically necessary are provided to eligible Ryan White Part A consumers and adequate records detailing the distribution are kept.</w:t>
            </w:r>
          </w:p>
        </w:tc>
      </w:tr>
    </w:tbl>
    <w:p w:rsidR="00876AD1" w:rsidRPr="00876AD1" w:rsidRDefault="00876AD1" w:rsidP="00876AD1">
      <w:pPr>
        <w:spacing w:after="0" w:line="240" w:lineRule="auto"/>
        <w:jc w:val="both"/>
        <w:rPr>
          <w:rFonts w:ascii="Arial" w:hAnsi="Arial" w:cs="Arial"/>
          <w:sz w:val="24"/>
        </w:rPr>
      </w:pPr>
    </w:p>
    <w:tbl>
      <w:tblPr>
        <w:tblStyle w:val="TableGrid13"/>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876AD1" w:rsidRPr="00876AD1" w:rsidTr="0069155E">
        <w:tc>
          <w:tcPr>
            <w:tcW w:w="9558" w:type="dxa"/>
            <w:gridSpan w:val="6"/>
            <w:shd w:val="clear" w:color="auto" w:fill="17365D" w:themeFill="text2" w:themeFillShade="BF"/>
          </w:tcPr>
          <w:p w:rsidR="00876AD1" w:rsidRPr="00876AD1" w:rsidRDefault="00876AD1" w:rsidP="00C27ED1">
            <w:pPr>
              <w:pStyle w:val="Heading4"/>
              <w:spacing w:before="0"/>
              <w:outlineLvl w:val="3"/>
            </w:pPr>
            <w:r w:rsidRPr="00C27ED1">
              <w:rPr>
                <w:color w:val="FFFFFF" w:themeColor="background1"/>
                <w:sz w:val="28"/>
              </w:rPr>
              <w:t>4.0 Nutrition Interventions</w:t>
            </w:r>
          </w:p>
        </w:tc>
      </w:tr>
      <w:tr w:rsidR="00876AD1" w:rsidRPr="00876AD1" w:rsidTr="0069155E">
        <w:tc>
          <w:tcPr>
            <w:tcW w:w="720" w:type="dxa"/>
          </w:tcPr>
          <w:p w:rsidR="00876AD1" w:rsidRPr="00876AD1" w:rsidRDefault="00876AD1" w:rsidP="00876AD1"/>
        </w:tc>
        <w:tc>
          <w:tcPr>
            <w:tcW w:w="4176" w:type="dxa"/>
            <w:gridSpan w:val="2"/>
          </w:tcPr>
          <w:p w:rsidR="00876AD1" w:rsidRPr="00876AD1" w:rsidRDefault="00876AD1" w:rsidP="00876AD1"/>
        </w:tc>
        <w:tc>
          <w:tcPr>
            <w:tcW w:w="720" w:type="dxa"/>
            <w:gridSpan w:val="2"/>
          </w:tcPr>
          <w:p w:rsidR="00876AD1" w:rsidRPr="00876AD1" w:rsidRDefault="00876AD1" w:rsidP="00876AD1"/>
        </w:tc>
        <w:tc>
          <w:tcPr>
            <w:tcW w:w="3942" w:type="dxa"/>
          </w:tcPr>
          <w:p w:rsidR="00876AD1" w:rsidRPr="00876AD1" w:rsidRDefault="00876AD1" w:rsidP="00876AD1"/>
        </w:tc>
      </w:tr>
      <w:tr w:rsidR="00876AD1" w:rsidRPr="00876AD1" w:rsidTr="0069155E">
        <w:tc>
          <w:tcPr>
            <w:tcW w:w="4896" w:type="dxa"/>
            <w:gridSpan w:val="3"/>
            <w:tcBorders>
              <w:bottom w:val="single" w:sz="12" w:space="0" w:color="17365D" w:themeColor="text2" w:themeShade="BF"/>
              <w:right w:val="single" w:sz="12" w:space="0" w:color="17365D" w:themeColor="text2" w:themeShade="BF"/>
            </w:tcBorders>
            <w:vAlign w:val="center"/>
          </w:tcPr>
          <w:p w:rsidR="00876AD1" w:rsidRPr="00664D63" w:rsidRDefault="00876AD1" w:rsidP="00876AD1">
            <w:pPr>
              <w:jc w:val="center"/>
              <w:rPr>
                <w:rStyle w:val="BookTitle"/>
              </w:rPr>
            </w:pPr>
            <w:r w:rsidRPr="00664D63">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876AD1" w:rsidRPr="00664D63" w:rsidRDefault="00876AD1" w:rsidP="00876AD1">
            <w:pPr>
              <w:jc w:val="center"/>
              <w:rPr>
                <w:rStyle w:val="BookTitle"/>
              </w:rPr>
            </w:pPr>
            <w:r w:rsidRPr="00664D63">
              <w:rPr>
                <w:rStyle w:val="BookTitle"/>
              </w:rPr>
              <w:t>Measures</w:t>
            </w:r>
          </w:p>
        </w:tc>
      </w:tr>
      <w:tr w:rsidR="00876AD1" w:rsidRPr="00876AD1" w:rsidTr="0069155E">
        <w:tc>
          <w:tcPr>
            <w:tcW w:w="738" w:type="dxa"/>
            <w:gridSpan w:val="2"/>
            <w:tcBorders>
              <w:top w:val="single" w:sz="12" w:space="0" w:color="17365D" w:themeColor="text2" w:themeShade="BF"/>
              <w:bottom w:val="single" w:sz="12" w:space="0" w:color="17365D" w:themeColor="text2" w:themeShade="BF"/>
            </w:tcBorders>
          </w:tcPr>
          <w:p w:rsidR="00876AD1" w:rsidRPr="00664D63" w:rsidRDefault="00876AD1" w:rsidP="00876AD1">
            <w:r w:rsidRPr="00664D63">
              <w:t>4.1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76AD1" w:rsidRPr="00664D63" w:rsidRDefault="00876AD1" w:rsidP="00876AD1">
            <w:r w:rsidRPr="00664D63">
              <w:t>Nutritional supplements are issued based on the assessment, prescription and care plan prior to receiving nutritional supplements.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r w:rsidRPr="00664D63">
              <w:t>4.1</w:t>
            </w:r>
          </w:p>
        </w:tc>
        <w:tc>
          <w:tcPr>
            <w:tcW w:w="3960" w:type="dxa"/>
            <w:gridSpan w:val="2"/>
            <w:tcBorders>
              <w:top w:val="single" w:sz="12" w:space="0" w:color="17365D" w:themeColor="text2" w:themeShade="BF"/>
              <w:bottom w:val="single" w:sz="12" w:space="0" w:color="17365D" w:themeColor="text2" w:themeShade="BF"/>
            </w:tcBorders>
          </w:tcPr>
          <w:p w:rsidR="00876AD1" w:rsidRPr="00664D63" w:rsidRDefault="00876AD1" w:rsidP="00876AD1">
            <w:r w:rsidRPr="00664D63">
              <w:t>Progress notes should detail supplement issuance based on assessment, prescription and plan.</w:t>
            </w:r>
          </w:p>
          <w:p w:rsidR="00876AD1" w:rsidRPr="00664D63" w:rsidRDefault="00876AD1" w:rsidP="00876AD1"/>
          <w:p w:rsidR="00876AD1" w:rsidRPr="00664D63" w:rsidRDefault="00876AD1" w:rsidP="00876AD1">
            <w:r w:rsidRPr="00664D63">
              <w:t>Assessment, prescription and plan in consumer file.</w:t>
            </w:r>
          </w:p>
          <w:p w:rsidR="00C27ED1" w:rsidRPr="00664D63" w:rsidRDefault="00C27ED1" w:rsidP="00876AD1"/>
        </w:tc>
      </w:tr>
      <w:tr w:rsidR="00876AD1" w:rsidRPr="00876AD1" w:rsidTr="0069155E">
        <w:tc>
          <w:tcPr>
            <w:tcW w:w="738" w:type="dxa"/>
            <w:gridSpan w:val="2"/>
            <w:tcBorders>
              <w:top w:val="single" w:sz="12" w:space="0" w:color="17365D" w:themeColor="text2" w:themeShade="BF"/>
              <w:bottom w:val="single" w:sz="12" w:space="0" w:color="17365D" w:themeColor="text2" w:themeShade="BF"/>
            </w:tcBorders>
          </w:tcPr>
          <w:p w:rsidR="00876AD1" w:rsidRPr="00664D63" w:rsidRDefault="00876AD1" w:rsidP="00876AD1">
            <w:r w:rsidRPr="00664D63">
              <w:t>4.2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76AD1" w:rsidRPr="00664D63" w:rsidRDefault="00876AD1" w:rsidP="00876AD1">
            <w:r w:rsidRPr="00664D63">
              <w:t xml:space="preserve">Programs shall distribute nutrition </w:t>
            </w:r>
            <w:r w:rsidRPr="00664D63">
              <w:lastRenderedPageBreak/>
              <w:t>education materials to consumers.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r w:rsidRPr="00664D63">
              <w:lastRenderedPageBreak/>
              <w:t>4.2</w:t>
            </w:r>
          </w:p>
        </w:tc>
        <w:tc>
          <w:tcPr>
            <w:tcW w:w="3960" w:type="dxa"/>
            <w:gridSpan w:val="2"/>
            <w:tcBorders>
              <w:top w:val="single" w:sz="12" w:space="0" w:color="17365D" w:themeColor="text2" w:themeShade="BF"/>
              <w:bottom w:val="single" w:sz="12" w:space="0" w:color="17365D" w:themeColor="text2" w:themeShade="BF"/>
            </w:tcBorders>
          </w:tcPr>
          <w:p w:rsidR="00876AD1" w:rsidRPr="00664D63" w:rsidRDefault="00876AD1" w:rsidP="00876AD1">
            <w:r w:rsidRPr="00664D63">
              <w:t xml:space="preserve">Materials that promote proper </w:t>
            </w:r>
            <w:r w:rsidRPr="00664D63">
              <w:lastRenderedPageBreak/>
              <w:t>nutrition and food safety on file at provider agency, along with distribution plan</w:t>
            </w:r>
            <w:r w:rsidR="00C27ED1" w:rsidRPr="00664D63">
              <w:t>.</w:t>
            </w:r>
          </w:p>
          <w:p w:rsidR="00C27ED1" w:rsidRPr="00664D63" w:rsidRDefault="00C27ED1" w:rsidP="00876AD1"/>
        </w:tc>
      </w:tr>
    </w:tbl>
    <w:p w:rsidR="00112007" w:rsidRPr="00876AD1" w:rsidRDefault="00112007" w:rsidP="00876AD1">
      <w:pPr>
        <w:spacing w:after="0" w:line="240" w:lineRule="auto"/>
        <w:jc w:val="both"/>
        <w:rPr>
          <w:rFonts w:ascii="Arial" w:hAnsi="Arial" w:cs="Arial"/>
          <w:sz w:val="24"/>
        </w:rPr>
      </w:pPr>
    </w:p>
    <w:tbl>
      <w:tblPr>
        <w:tblStyle w:val="TableGrid13"/>
        <w:tblW w:w="0" w:type="auto"/>
        <w:tblLook w:val="04A0" w:firstRow="1" w:lastRow="0" w:firstColumn="1" w:lastColumn="0" w:noHBand="0" w:noVBand="1"/>
      </w:tblPr>
      <w:tblGrid>
        <w:gridCol w:w="9576"/>
      </w:tblGrid>
      <w:tr w:rsidR="00876AD1" w:rsidRPr="00876AD1" w:rsidTr="0069155E">
        <w:tc>
          <w:tcPr>
            <w:tcW w:w="9576" w:type="dxa"/>
            <w:tcBorders>
              <w:top w:val="single" w:sz="12" w:space="0" w:color="auto"/>
              <w:left w:val="nil"/>
              <w:bottom w:val="single" w:sz="12" w:space="0" w:color="auto"/>
              <w:right w:val="nil"/>
            </w:tcBorders>
          </w:tcPr>
          <w:p w:rsidR="00876AD1" w:rsidRPr="00876AD1" w:rsidRDefault="00876AD1" w:rsidP="008E7A5D">
            <w:pPr>
              <w:pStyle w:val="Heading3"/>
              <w:spacing w:before="0"/>
              <w:outlineLvl w:val="2"/>
            </w:pPr>
            <w:bookmarkStart w:id="55" w:name="_Toc489280896"/>
            <w:r w:rsidRPr="008E7A5D">
              <w:rPr>
                <w:sz w:val="28"/>
              </w:rPr>
              <w:t>5.0 Case Closure</w:t>
            </w:r>
            <w:bookmarkEnd w:id="55"/>
          </w:p>
        </w:tc>
      </w:tr>
    </w:tbl>
    <w:p w:rsidR="00876AD1" w:rsidRPr="00876AD1" w:rsidRDefault="00876AD1" w:rsidP="00876AD1">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E046F9" w:rsidTr="00E046F9">
        <w:tc>
          <w:tcPr>
            <w:tcW w:w="9576" w:type="dxa"/>
            <w:tcBorders>
              <w:top w:val="nil"/>
              <w:left w:val="nil"/>
              <w:bottom w:val="nil"/>
              <w:right w:val="nil"/>
            </w:tcBorders>
          </w:tcPr>
          <w:p w:rsidR="00E046F9" w:rsidRDefault="00E046F9" w:rsidP="00876AD1">
            <w:pPr>
              <w:rPr>
                <w:rFonts w:cs="Arial"/>
              </w:rPr>
            </w:pPr>
            <w:r w:rsidRPr="00876AD1">
              <w:rPr>
                <w:rFonts w:cs="Arial"/>
              </w:rPr>
              <w:t>The objective of the standards for case closure is to e</w:t>
            </w:r>
            <w:r>
              <w:rPr>
                <w:rFonts w:cs="Arial"/>
              </w:rPr>
              <w:t>nsure appropriate case closure.</w:t>
            </w:r>
          </w:p>
        </w:tc>
      </w:tr>
    </w:tbl>
    <w:p w:rsidR="00E046F9" w:rsidRDefault="00E046F9" w:rsidP="00876AD1">
      <w:pPr>
        <w:spacing w:after="0" w:line="240" w:lineRule="auto"/>
        <w:jc w:val="both"/>
        <w:rPr>
          <w:rFonts w:ascii="Arial" w:hAnsi="Arial" w:cs="Arial"/>
          <w:sz w:val="24"/>
        </w:rPr>
      </w:pPr>
    </w:p>
    <w:tbl>
      <w:tblPr>
        <w:tblStyle w:val="TableGrid13"/>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876AD1" w:rsidRPr="00876AD1" w:rsidTr="0069155E">
        <w:tc>
          <w:tcPr>
            <w:tcW w:w="9558" w:type="dxa"/>
            <w:gridSpan w:val="6"/>
            <w:shd w:val="clear" w:color="auto" w:fill="17365D" w:themeFill="text2" w:themeFillShade="BF"/>
          </w:tcPr>
          <w:p w:rsidR="00876AD1" w:rsidRPr="00876AD1" w:rsidRDefault="00876AD1" w:rsidP="00C27ED1">
            <w:pPr>
              <w:pStyle w:val="Heading4"/>
              <w:spacing w:before="0"/>
              <w:outlineLvl w:val="3"/>
            </w:pPr>
            <w:r w:rsidRPr="00C27ED1">
              <w:rPr>
                <w:color w:val="FFFFFF" w:themeColor="background1"/>
                <w:sz w:val="28"/>
              </w:rPr>
              <w:t>5.0 Case Closure</w:t>
            </w:r>
          </w:p>
        </w:tc>
      </w:tr>
      <w:tr w:rsidR="00876AD1" w:rsidRPr="00876AD1" w:rsidTr="0069155E">
        <w:tc>
          <w:tcPr>
            <w:tcW w:w="720" w:type="dxa"/>
          </w:tcPr>
          <w:p w:rsidR="00876AD1" w:rsidRPr="00876AD1" w:rsidRDefault="00876AD1" w:rsidP="00876AD1"/>
        </w:tc>
        <w:tc>
          <w:tcPr>
            <w:tcW w:w="4176" w:type="dxa"/>
            <w:gridSpan w:val="2"/>
          </w:tcPr>
          <w:p w:rsidR="00876AD1" w:rsidRPr="00876AD1" w:rsidRDefault="00876AD1" w:rsidP="00876AD1"/>
        </w:tc>
        <w:tc>
          <w:tcPr>
            <w:tcW w:w="720" w:type="dxa"/>
            <w:gridSpan w:val="2"/>
          </w:tcPr>
          <w:p w:rsidR="00876AD1" w:rsidRPr="00876AD1" w:rsidRDefault="00876AD1" w:rsidP="00876AD1"/>
        </w:tc>
        <w:tc>
          <w:tcPr>
            <w:tcW w:w="3942" w:type="dxa"/>
          </w:tcPr>
          <w:p w:rsidR="00876AD1" w:rsidRPr="00876AD1" w:rsidRDefault="00876AD1" w:rsidP="00876AD1"/>
        </w:tc>
      </w:tr>
      <w:tr w:rsidR="00876AD1" w:rsidRPr="00876AD1" w:rsidTr="0069155E">
        <w:tc>
          <w:tcPr>
            <w:tcW w:w="4896" w:type="dxa"/>
            <w:gridSpan w:val="3"/>
            <w:tcBorders>
              <w:bottom w:val="single" w:sz="12" w:space="0" w:color="17365D" w:themeColor="text2" w:themeShade="BF"/>
              <w:right w:val="single" w:sz="12" w:space="0" w:color="17365D" w:themeColor="text2" w:themeShade="BF"/>
            </w:tcBorders>
            <w:vAlign w:val="center"/>
          </w:tcPr>
          <w:p w:rsidR="00876AD1" w:rsidRPr="00A15C81" w:rsidRDefault="00876AD1" w:rsidP="00876AD1">
            <w:pPr>
              <w:jc w:val="center"/>
              <w:rPr>
                <w:rStyle w:val="BookTitle"/>
              </w:rPr>
            </w:pPr>
            <w:r w:rsidRPr="00A15C81">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876AD1" w:rsidRPr="00A15C81" w:rsidRDefault="00876AD1" w:rsidP="00876AD1">
            <w:pPr>
              <w:jc w:val="center"/>
              <w:rPr>
                <w:rStyle w:val="BookTitle"/>
              </w:rPr>
            </w:pPr>
            <w:r w:rsidRPr="00A15C81">
              <w:rPr>
                <w:rStyle w:val="BookTitle"/>
              </w:rPr>
              <w:t>Measures</w:t>
            </w:r>
          </w:p>
        </w:tc>
      </w:tr>
      <w:tr w:rsidR="00876AD1" w:rsidRPr="00876AD1" w:rsidTr="0069155E">
        <w:tc>
          <w:tcPr>
            <w:tcW w:w="738" w:type="dxa"/>
            <w:gridSpan w:val="2"/>
            <w:tcBorders>
              <w:top w:val="single" w:sz="12" w:space="0" w:color="17365D" w:themeColor="text2" w:themeShade="BF"/>
              <w:bottom w:val="single" w:sz="12" w:space="0" w:color="17365D" w:themeColor="text2" w:themeShade="BF"/>
            </w:tcBorders>
          </w:tcPr>
          <w:p w:rsidR="00876AD1" w:rsidRPr="00664D63" w:rsidRDefault="00876AD1" w:rsidP="00876AD1">
            <w:r w:rsidRPr="00664D63">
              <w:t>5.1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76AD1" w:rsidRPr="00664D63" w:rsidRDefault="00876AD1" w:rsidP="00876AD1">
            <w:r w:rsidRPr="00664D63">
              <w:t>Provider shall develop case closure criteria and procedures. Cases may be closed when the consumer:</w:t>
            </w:r>
          </w:p>
          <w:p w:rsidR="00876AD1" w:rsidRPr="00664D63" w:rsidRDefault="00E9577A" w:rsidP="003D44F2">
            <w:pPr>
              <w:numPr>
                <w:ilvl w:val="0"/>
                <w:numId w:val="12"/>
              </w:numPr>
            </w:pPr>
            <w:r w:rsidRPr="00664D63">
              <w:t>Is relocating out of the service area;</w:t>
            </w:r>
          </w:p>
          <w:p w:rsidR="00876AD1" w:rsidRPr="00664D63" w:rsidRDefault="00E9577A" w:rsidP="003D44F2">
            <w:pPr>
              <w:numPr>
                <w:ilvl w:val="0"/>
                <w:numId w:val="12"/>
              </w:numPr>
            </w:pPr>
            <w:r w:rsidRPr="00664D63">
              <w:t>No longer needs the service/completes care plan</w:t>
            </w:r>
            <w:r w:rsidR="00876AD1" w:rsidRPr="00664D63">
              <w:t>; or</w:t>
            </w:r>
          </w:p>
          <w:p w:rsidR="00876AD1" w:rsidRPr="00664D63" w:rsidRDefault="00E9577A" w:rsidP="003D44F2">
            <w:pPr>
              <w:numPr>
                <w:ilvl w:val="0"/>
                <w:numId w:val="12"/>
              </w:numPr>
            </w:pPr>
            <w:r w:rsidRPr="00664D63">
              <w:t>Decides to discontinue the service</w:t>
            </w:r>
          </w:p>
          <w:p w:rsidR="008E7A5D" w:rsidRPr="00664D63" w:rsidRDefault="008E7A5D" w:rsidP="008E7A5D">
            <w:pPr>
              <w:ind w:left="360"/>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76AD1" w:rsidRPr="00664D63" w:rsidRDefault="00876AD1" w:rsidP="00876AD1">
            <w:r w:rsidRPr="00664D63">
              <w:t>5.1</w:t>
            </w:r>
          </w:p>
        </w:tc>
        <w:tc>
          <w:tcPr>
            <w:tcW w:w="3960" w:type="dxa"/>
            <w:gridSpan w:val="2"/>
            <w:tcBorders>
              <w:top w:val="single" w:sz="12" w:space="0" w:color="17365D" w:themeColor="text2" w:themeShade="BF"/>
              <w:bottom w:val="single" w:sz="12" w:space="0" w:color="17365D" w:themeColor="text2" w:themeShade="BF"/>
            </w:tcBorders>
          </w:tcPr>
          <w:p w:rsidR="00876AD1" w:rsidRPr="00664D63" w:rsidRDefault="00876AD1" w:rsidP="00876AD1">
            <w:r w:rsidRPr="00664D63">
              <w:t>Case closure criteria and procedures on file at provider agency.</w:t>
            </w:r>
          </w:p>
          <w:p w:rsidR="00876AD1" w:rsidRPr="00664D63" w:rsidRDefault="00876AD1" w:rsidP="00876AD1"/>
          <w:p w:rsidR="00876AD1" w:rsidRPr="00664D63" w:rsidRDefault="00876AD1" w:rsidP="00876AD1">
            <w:r w:rsidRPr="00664D63">
              <w:t>Review of consumer record</w:t>
            </w:r>
          </w:p>
        </w:tc>
      </w:tr>
    </w:tbl>
    <w:p w:rsidR="00876AD1" w:rsidRPr="00876AD1" w:rsidRDefault="00876AD1" w:rsidP="00876AD1">
      <w:pPr>
        <w:spacing w:after="0" w:line="240" w:lineRule="auto"/>
        <w:rPr>
          <w:rFonts w:ascii="Arial" w:hAnsi="Arial" w:cs="Arial"/>
          <w:sz w:val="24"/>
        </w:rPr>
      </w:pPr>
    </w:p>
    <w:p w:rsidR="000859CB" w:rsidRPr="000859CB" w:rsidRDefault="000859CB" w:rsidP="000859CB">
      <w:pPr>
        <w:spacing w:after="0" w:line="240" w:lineRule="auto"/>
        <w:rPr>
          <w:rFonts w:ascii="Arial" w:hAnsi="Arial" w:cs="Arial"/>
          <w:sz w:val="24"/>
        </w:rPr>
      </w:pPr>
    </w:p>
    <w:p w:rsidR="00731868" w:rsidRDefault="00731868" w:rsidP="002C5805">
      <w:pPr>
        <w:spacing w:after="0" w:line="240" w:lineRule="auto"/>
        <w:jc w:val="both"/>
        <w:rPr>
          <w:rFonts w:ascii="Arial" w:hAnsi="Arial" w:cs="Arial"/>
          <w:sz w:val="24"/>
        </w:rPr>
        <w:sectPr w:rsidR="00731868" w:rsidSect="00B30500">
          <w:footerReference w:type="default" r:id="rId48"/>
          <w:footerReference w:type="first" r:id="rId49"/>
          <w:pgSz w:w="12240" w:h="15840" w:code="1"/>
          <w:pgMar w:top="1296" w:right="1440" w:bottom="1296" w:left="1440" w:header="720" w:footer="432" w:gutter="0"/>
          <w:cols w:space="720"/>
          <w:titlePg/>
          <w:docGrid w:linePitch="360"/>
        </w:sectPr>
      </w:pPr>
    </w:p>
    <w:tbl>
      <w:tblPr>
        <w:tblStyle w:val="TableGrid"/>
        <w:tblW w:w="0" w:type="auto"/>
        <w:shd w:val="clear" w:color="auto" w:fill="17365D" w:themeFill="text2" w:themeFillShade="BF"/>
        <w:tblLook w:val="04A0" w:firstRow="1" w:lastRow="0" w:firstColumn="1" w:lastColumn="0" w:noHBand="0" w:noVBand="1"/>
      </w:tblPr>
      <w:tblGrid>
        <w:gridCol w:w="9576"/>
      </w:tblGrid>
      <w:tr w:rsidR="00B9122F" w:rsidTr="00B9122F">
        <w:tc>
          <w:tcPr>
            <w:tcW w:w="9576" w:type="dxa"/>
            <w:shd w:val="clear" w:color="auto" w:fill="17365D" w:themeFill="text2" w:themeFillShade="BF"/>
          </w:tcPr>
          <w:p w:rsidR="00B9122F" w:rsidRPr="00FE38D3" w:rsidRDefault="00B9122F" w:rsidP="00E9577A">
            <w:pPr>
              <w:pStyle w:val="Heading2"/>
              <w:spacing w:before="0"/>
              <w:jc w:val="center"/>
              <w:outlineLvl w:val="1"/>
            </w:pPr>
            <w:bookmarkStart w:id="56" w:name="_Medical_Case_Management"/>
            <w:bookmarkStart w:id="57" w:name="_Toc489280897"/>
            <w:bookmarkEnd w:id="56"/>
            <w:r w:rsidRPr="00E9577A">
              <w:rPr>
                <w:color w:val="FFFFFF" w:themeColor="background1"/>
                <w:sz w:val="32"/>
              </w:rPr>
              <w:lastRenderedPageBreak/>
              <w:t>Medical Case</w:t>
            </w:r>
            <w:r w:rsidRPr="00E9577A">
              <w:rPr>
                <w:rStyle w:val="Heading2Char"/>
                <w:color w:val="FFFFFF" w:themeColor="background1"/>
                <w:sz w:val="32"/>
              </w:rPr>
              <w:t xml:space="preserve"> </w:t>
            </w:r>
            <w:r w:rsidRPr="00E9577A">
              <w:rPr>
                <w:color w:val="FFFFFF" w:themeColor="background1"/>
                <w:sz w:val="32"/>
              </w:rPr>
              <w:t>Management</w:t>
            </w:r>
            <w:bookmarkEnd w:id="57"/>
          </w:p>
        </w:tc>
      </w:tr>
    </w:tbl>
    <w:p w:rsidR="002C5805" w:rsidRDefault="002C5805" w:rsidP="002C5805">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4601D3" w:rsidTr="004601D3">
        <w:tc>
          <w:tcPr>
            <w:tcW w:w="9576" w:type="dxa"/>
            <w:tcBorders>
              <w:top w:val="nil"/>
              <w:left w:val="nil"/>
              <w:bottom w:val="nil"/>
              <w:right w:val="nil"/>
            </w:tcBorders>
          </w:tcPr>
          <w:p w:rsidR="004601D3" w:rsidRDefault="004601D3" w:rsidP="004601D3">
            <w:pPr>
              <w:rPr>
                <w:rFonts w:cs="Arial"/>
              </w:rPr>
            </w:pPr>
            <w:r w:rsidRPr="008E7A5D">
              <w:rPr>
                <w:rFonts w:cs="Arial"/>
                <w:b/>
              </w:rPr>
              <w:t>Definition</w:t>
            </w:r>
            <w:r w:rsidRPr="008E7A5D">
              <w:rPr>
                <w:rFonts w:cs="Arial"/>
              </w:rPr>
              <w:t xml:space="preserve">: </w:t>
            </w:r>
          </w:p>
          <w:p w:rsidR="004601D3" w:rsidRDefault="004601D3" w:rsidP="004601D3">
            <w:pPr>
              <w:rPr>
                <w:rFonts w:cs="Arial"/>
              </w:rPr>
            </w:pPr>
            <w:r w:rsidRPr="008E7A5D">
              <w:rPr>
                <w:rFonts w:cs="Arial"/>
              </w:rPr>
              <w:t xml:space="preserve">Medical Case Management services (including treatment adherence) is the provision of a range of consumer-centered consumer activities focused on improving health outcomes in support of the HIV Care Continuum.  Consumer activities may be prescribed by an interdisciplinary team that includes other specialty care providers. Medical Case Management includes all types of case management encounters (e.g., face-to-face, phone contact, and any other forms of communication). Medical case management includes the provision of treatment adherence counseling to ensure readiness for, and adherence to, complex HIV/AIDS treatments. </w:t>
            </w:r>
          </w:p>
          <w:p w:rsidR="004601D3" w:rsidRDefault="004601D3" w:rsidP="004601D3">
            <w:pPr>
              <w:rPr>
                <w:rFonts w:cs="Arial"/>
              </w:rPr>
            </w:pPr>
          </w:p>
          <w:p w:rsidR="004601D3" w:rsidRDefault="004601D3" w:rsidP="004601D3">
            <w:pPr>
              <w:rPr>
                <w:rFonts w:cs="Arial"/>
              </w:rPr>
            </w:pPr>
            <w:r w:rsidRPr="008E7A5D">
              <w:rPr>
                <w:rFonts w:cs="Arial"/>
              </w:rPr>
              <w:t xml:space="preserve">Key activities include:                    </w:t>
            </w:r>
          </w:p>
          <w:p w:rsidR="004601D3" w:rsidRDefault="004601D3" w:rsidP="001B1B43">
            <w:pPr>
              <w:pStyle w:val="ListParagraph"/>
              <w:numPr>
                <w:ilvl w:val="0"/>
                <w:numId w:val="108"/>
              </w:numPr>
              <w:rPr>
                <w:rFonts w:cs="Arial"/>
              </w:rPr>
            </w:pPr>
            <w:r w:rsidRPr="004601D3">
              <w:rPr>
                <w:rFonts w:cs="Arial"/>
              </w:rPr>
              <w:t>Initial assessment of service needs</w:t>
            </w:r>
          </w:p>
          <w:p w:rsidR="004601D3" w:rsidRDefault="004601D3" w:rsidP="001B1B43">
            <w:pPr>
              <w:pStyle w:val="ListParagraph"/>
              <w:numPr>
                <w:ilvl w:val="0"/>
                <w:numId w:val="108"/>
              </w:numPr>
              <w:rPr>
                <w:rFonts w:cs="Arial"/>
              </w:rPr>
            </w:pPr>
            <w:r w:rsidRPr="004601D3">
              <w:rPr>
                <w:rFonts w:cs="Arial"/>
              </w:rPr>
              <w:t>Development of a comprehensive, individualized service plan</w:t>
            </w:r>
          </w:p>
          <w:p w:rsidR="004601D3" w:rsidRDefault="004601D3" w:rsidP="001B1B43">
            <w:pPr>
              <w:pStyle w:val="ListParagraph"/>
              <w:numPr>
                <w:ilvl w:val="0"/>
                <w:numId w:val="108"/>
              </w:numPr>
              <w:rPr>
                <w:rFonts w:cs="Arial"/>
              </w:rPr>
            </w:pPr>
            <w:r w:rsidRPr="004601D3">
              <w:rPr>
                <w:rFonts w:cs="Arial"/>
              </w:rPr>
              <w:t>Timely and coordinated access to medically appropriate levels of health and support services and continuity of care</w:t>
            </w:r>
          </w:p>
          <w:p w:rsidR="004601D3" w:rsidRDefault="004601D3" w:rsidP="001B1B43">
            <w:pPr>
              <w:pStyle w:val="ListParagraph"/>
              <w:numPr>
                <w:ilvl w:val="0"/>
                <w:numId w:val="108"/>
              </w:numPr>
              <w:rPr>
                <w:rFonts w:cs="Arial"/>
              </w:rPr>
            </w:pPr>
            <w:r w:rsidRPr="004601D3">
              <w:rPr>
                <w:rFonts w:cs="Arial"/>
              </w:rPr>
              <w:t>Continuous consumer monitoring to assess the efficacy of the care plan</w:t>
            </w:r>
          </w:p>
          <w:p w:rsidR="004601D3" w:rsidRDefault="004601D3" w:rsidP="001B1B43">
            <w:pPr>
              <w:pStyle w:val="ListParagraph"/>
              <w:numPr>
                <w:ilvl w:val="0"/>
                <w:numId w:val="108"/>
              </w:numPr>
              <w:rPr>
                <w:rFonts w:cs="Arial"/>
              </w:rPr>
            </w:pPr>
            <w:r w:rsidRPr="004601D3">
              <w:rPr>
                <w:rFonts w:cs="Arial"/>
              </w:rPr>
              <w:t>Re-evaluation of the care plan  at least every 6 months with adaptations as necessary</w:t>
            </w:r>
          </w:p>
          <w:p w:rsidR="004601D3" w:rsidRDefault="004601D3" w:rsidP="001B1B43">
            <w:pPr>
              <w:pStyle w:val="ListParagraph"/>
              <w:numPr>
                <w:ilvl w:val="0"/>
                <w:numId w:val="108"/>
              </w:numPr>
              <w:rPr>
                <w:rFonts w:cs="Arial"/>
              </w:rPr>
            </w:pPr>
            <w:r>
              <w:rPr>
                <w:rFonts w:cs="Arial"/>
              </w:rPr>
              <w:t>O</w:t>
            </w:r>
            <w:r w:rsidRPr="004601D3">
              <w:rPr>
                <w:rFonts w:cs="Arial"/>
              </w:rPr>
              <w:t xml:space="preserve">ngoing assessment of the consumer’s and other key family members’ needs and personal support systems; treatment adherence counseling to ensure readiness for and adherence to complex </w:t>
            </w:r>
            <w:r w:rsidRPr="004601D3">
              <w:rPr>
                <w:rFonts w:cs="Arial"/>
              </w:rPr>
              <w:br/>
              <w:t>HIV treatments</w:t>
            </w:r>
          </w:p>
          <w:p w:rsidR="004601D3" w:rsidRPr="004601D3" w:rsidRDefault="004601D3" w:rsidP="001B1B43">
            <w:pPr>
              <w:pStyle w:val="ListParagraph"/>
              <w:numPr>
                <w:ilvl w:val="0"/>
                <w:numId w:val="108"/>
              </w:numPr>
              <w:rPr>
                <w:rFonts w:cs="Arial"/>
              </w:rPr>
            </w:pPr>
            <w:r w:rsidRPr="004601D3">
              <w:rPr>
                <w:rFonts w:cs="Arial"/>
              </w:rPr>
              <w:t xml:space="preserve">Consumer-specific advocacy and/or review of utilization of services. </w:t>
            </w:r>
          </w:p>
          <w:p w:rsidR="004601D3" w:rsidRPr="008E7A5D" w:rsidRDefault="004601D3" w:rsidP="004601D3">
            <w:pPr>
              <w:rPr>
                <w:rFonts w:cs="Arial"/>
              </w:rPr>
            </w:pPr>
          </w:p>
          <w:p w:rsidR="004601D3" w:rsidRPr="008E7A5D" w:rsidRDefault="004601D3" w:rsidP="004601D3">
            <w:pPr>
              <w:rPr>
                <w:rFonts w:cs="Arial"/>
              </w:rPr>
            </w:pPr>
            <w:r w:rsidRPr="008E7A5D">
              <w:rPr>
                <w:rFonts w:cs="Arial"/>
              </w:rPr>
              <w:t>In addition to providing the medically oriented services above, Medical Case Management may also provide benefits counseling by assisting eligible consumers in obtaining access to other public and private programs for which they may be eligible (e.g., Medicaid, Medicare Part D, State Pharmacy Assistance Programs, Pharmaceutical Manufacturer’s Patient Assistance Programs, other state or local health care and supportive services, and insurance plans through the health insurance Marketplaces/Exchanges).</w:t>
            </w:r>
          </w:p>
          <w:p w:rsidR="004601D3" w:rsidRPr="008E7A5D" w:rsidRDefault="004601D3" w:rsidP="004601D3">
            <w:pPr>
              <w:rPr>
                <w:rFonts w:cs="Arial"/>
              </w:rPr>
            </w:pPr>
          </w:p>
          <w:p w:rsidR="004601D3" w:rsidRDefault="004601D3" w:rsidP="004601D3">
            <w:pPr>
              <w:rPr>
                <w:rFonts w:cs="Arial"/>
              </w:rPr>
            </w:pPr>
            <w:r w:rsidRPr="008E7A5D">
              <w:rPr>
                <w:rFonts w:cs="Arial"/>
                <w:b/>
              </w:rPr>
              <w:t>Eligibility</w:t>
            </w:r>
            <w:r w:rsidRPr="008E7A5D">
              <w:rPr>
                <w:rFonts w:cs="Arial"/>
              </w:rPr>
              <w:t xml:space="preserve">: </w:t>
            </w:r>
          </w:p>
          <w:p w:rsidR="004601D3" w:rsidRDefault="004601D3" w:rsidP="004601D3">
            <w:pPr>
              <w:rPr>
                <w:rFonts w:cs="Arial"/>
                <w:b/>
              </w:rPr>
            </w:pPr>
            <w:r w:rsidRPr="008E7A5D">
              <w:rPr>
                <w:rFonts w:cs="Arial"/>
              </w:rPr>
              <w:t>Consumers accessing Medical Case Management shall meet the eligibility standards as described in the System Wide Standards of Care</w:t>
            </w:r>
          </w:p>
        </w:tc>
      </w:tr>
    </w:tbl>
    <w:p w:rsidR="008E7A5D" w:rsidRDefault="008E7A5D" w:rsidP="008E7A5D">
      <w:pPr>
        <w:spacing w:after="0" w:line="240" w:lineRule="auto"/>
        <w:jc w:val="both"/>
        <w:rPr>
          <w:rFonts w:ascii="Arial" w:hAnsi="Arial" w:cs="Arial"/>
          <w:sz w:val="24"/>
        </w:rPr>
      </w:pPr>
      <w:bookmarkStart w:id="58" w:name="OLE_LINK1"/>
    </w:p>
    <w:tbl>
      <w:tblPr>
        <w:tblStyle w:val="TableGrid13"/>
        <w:tblW w:w="0" w:type="auto"/>
        <w:tblLook w:val="04A0" w:firstRow="1" w:lastRow="0" w:firstColumn="1" w:lastColumn="0" w:noHBand="0" w:noVBand="1"/>
      </w:tblPr>
      <w:tblGrid>
        <w:gridCol w:w="9576"/>
      </w:tblGrid>
      <w:tr w:rsidR="008E7A5D" w:rsidRPr="00876AD1" w:rsidTr="00FA2D9A">
        <w:tc>
          <w:tcPr>
            <w:tcW w:w="9576" w:type="dxa"/>
            <w:tcBorders>
              <w:top w:val="single" w:sz="12" w:space="0" w:color="auto"/>
              <w:left w:val="nil"/>
              <w:bottom w:val="single" w:sz="12" w:space="0" w:color="auto"/>
              <w:right w:val="nil"/>
            </w:tcBorders>
          </w:tcPr>
          <w:p w:rsidR="008E7A5D" w:rsidRPr="00876AD1" w:rsidRDefault="008E7A5D" w:rsidP="00FA2D9A">
            <w:pPr>
              <w:pStyle w:val="Heading3"/>
              <w:spacing w:before="0"/>
              <w:outlineLvl w:val="2"/>
            </w:pPr>
            <w:bookmarkStart w:id="59" w:name="_Toc489280898"/>
            <w:r w:rsidRPr="008E7A5D">
              <w:rPr>
                <w:rFonts w:ascii="Arial" w:eastAsia="Calibri" w:hAnsi="Arial" w:cs="Arial"/>
                <w:bCs/>
                <w:sz w:val="28"/>
              </w:rPr>
              <w:t>1.0 Policies and Procedures</w:t>
            </w:r>
            <w:bookmarkEnd w:id="59"/>
          </w:p>
        </w:tc>
      </w:tr>
      <w:bookmarkEnd w:id="58"/>
    </w:tbl>
    <w:p w:rsidR="008E7A5D" w:rsidRPr="008E7A5D" w:rsidRDefault="008E7A5D" w:rsidP="008E7A5D">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4601D3" w:rsidTr="004601D3">
        <w:tc>
          <w:tcPr>
            <w:tcW w:w="9576" w:type="dxa"/>
            <w:tcBorders>
              <w:top w:val="nil"/>
              <w:left w:val="nil"/>
              <w:bottom w:val="nil"/>
              <w:right w:val="nil"/>
            </w:tcBorders>
          </w:tcPr>
          <w:p w:rsidR="004601D3" w:rsidRDefault="004601D3" w:rsidP="004601D3">
            <w:pPr>
              <w:rPr>
                <w:rFonts w:cs="Arial"/>
              </w:rPr>
            </w:pPr>
            <w:r w:rsidRPr="008E7A5D">
              <w:rPr>
                <w:rFonts w:cs="Arial"/>
              </w:rPr>
              <w:t xml:space="preserve">Medical Case Management agencies shall have policies and procedures that ensure that the services are accessible to all eligible consumers. </w:t>
            </w:r>
          </w:p>
          <w:p w:rsidR="004601D3" w:rsidRDefault="004601D3" w:rsidP="004601D3">
            <w:pPr>
              <w:rPr>
                <w:rFonts w:cs="Arial"/>
              </w:rPr>
            </w:pPr>
          </w:p>
          <w:p w:rsidR="004601D3" w:rsidRDefault="004601D3" w:rsidP="004601D3">
            <w:pPr>
              <w:rPr>
                <w:rFonts w:cs="Arial"/>
              </w:rPr>
            </w:pPr>
            <w:r w:rsidRPr="008E7A5D">
              <w:rPr>
                <w:rFonts w:cs="Arial"/>
              </w:rPr>
              <w:t>The agency policy and procedures will ensure compliance with the following standards.</w:t>
            </w:r>
          </w:p>
        </w:tc>
      </w:tr>
    </w:tbl>
    <w:p w:rsidR="008E7A5D" w:rsidRDefault="008E7A5D" w:rsidP="008E7A5D">
      <w:pPr>
        <w:spacing w:after="0" w:line="240" w:lineRule="auto"/>
        <w:jc w:val="both"/>
        <w:rPr>
          <w:rFonts w:ascii="Arial" w:hAnsi="Arial" w:cs="Arial"/>
          <w:sz w:val="24"/>
        </w:rPr>
      </w:pPr>
    </w:p>
    <w:p w:rsidR="004601D3" w:rsidRPr="008E7A5D" w:rsidRDefault="004601D3" w:rsidP="008E7A5D">
      <w:pPr>
        <w:spacing w:after="0" w:line="240" w:lineRule="auto"/>
        <w:jc w:val="both"/>
        <w:rPr>
          <w:rFonts w:ascii="Arial" w:hAnsi="Arial" w:cs="Arial"/>
          <w:sz w:val="24"/>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gridCol w:w="18"/>
      </w:tblGrid>
      <w:tr w:rsidR="008E7A5D" w:rsidRPr="008E7A5D" w:rsidTr="004601D3">
        <w:trPr>
          <w:gridAfter w:val="1"/>
          <w:wAfter w:w="18" w:type="dxa"/>
          <w:trHeight w:hRule="exact" w:val="360"/>
        </w:trPr>
        <w:tc>
          <w:tcPr>
            <w:tcW w:w="9558" w:type="dxa"/>
            <w:gridSpan w:val="6"/>
            <w:shd w:val="clear" w:color="auto" w:fill="17365D" w:themeFill="text2" w:themeFillShade="BF"/>
          </w:tcPr>
          <w:p w:rsidR="008E7A5D" w:rsidRPr="008E7A5D" w:rsidRDefault="008E7A5D" w:rsidP="008E7A5D">
            <w:pPr>
              <w:pStyle w:val="Heading4"/>
              <w:spacing w:before="0"/>
              <w:outlineLvl w:val="3"/>
              <w:rPr>
                <w:rFonts w:eastAsia="Calibri"/>
              </w:rPr>
            </w:pPr>
            <w:r w:rsidRPr="008E7A5D">
              <w:rPr>
                <w:rFonts w:eastAsia="Calibri"/>
                <w:color w:val="FFFFFF" w:themeColor="background1"/>
                <w:sz w:val="28"/>
              </w:rPr>
              <w:lastRenderedPageBreak/>
              <w:t>1.0 Policies and Procedures</w:t>
            </w:r>
          </w:p>
        </w:tc>
      </w:tr>
      <w:tr w:rsidR="008E7A5D" w:rsidRPr="008E7A5D" w:rsidTr="004601D3">
        <w:trPr>
          <w:gridAfter w:val="1"/>
          <w:wAfter w:w="18" w:type="dxa"/>
          <w:trHeight w:hRule="exact" w:val="288"/>
        </w:trPr>
        <w:tc>
          <w:tcPr>
            <w:tcW w:w="720" w:type="dxa"/>
          </w:tcPr>
          <w:p w:rsidR="008E7A5D" w:rsidRPr="008E7A5D" w:rsidRDefault="008E7A5D" w:rsidP="008E7A5D">
            <w:pPr>
              <w:rPr>
                <w:rFonts w:cs="Arial"/>
              </w:rPr>
            </w:pPr>
          </w:p>
        </w:tc>
        <w:tc>
          <w:tcPr>
            <w:tcW w:w="4176" w:type="dxa"/>
            <w:gridSpan w:val="2"/>
          </w:tcPr>
          <w:p w:rsidR="008E7A5D" w:rsidRPr="008E7A5D" w:rsidRDefault="008E7A5D" w:rsidP="008E7A5D">
            <w:pPr>
              <w:rPr>
                <w:rFonts w:cs="Arial"/>
              </w:rPr>
            </w:pPr>
          </w:p>
        </w:tc>
        <w:tc>
          <w:tcPr>
            <w:tcW w:w="720" w:type="dxa"/>
            <w:gridSpan w:val="2"/>
          </w:tcPr>
          <w:p w:rsidR="008E7A5D" w:rsidRPr="008E7A5D" w:rsidRDefault="008E7A5D" w:rsidP="008E7A5D">
            <w:pPr>
              <w:rPr>
                <w:rFonts w:cs="Arial"/>
              </w:rPr>
            </w:pPr>
          </w:p>
        </w:tc>
        <w:tc>
          <w:tcPr>
            <w:tcW w:w="3942" w:type="dxa"/>
          </w:tcPr>
          <w:p w:rsidR="008E7A5D" w:rsidRPr="008E7A5D" w:rsidRDefault="008E7A5D" w:rsidP="008E7A5D">
            <w:pPr>
              <w:rPr>
                <w:rFonts w:cs="Arial"/>
              </w:rPr>
            </w:pPr>
          </w:p>
        </w:tc>
      </w:tr>
      <w:tr w:rsidR="008E7A5D" w:rsidRPr="008E7A5D" w:rsidTr="004601D3">
        <w:trPr>
          <w:gridAfter w:val="1"/>
          <w:wAfter w:w="18" w:type="dxa"/>
          <w:trHeight w:hRule="exact" w:val="288"/>
        </w:trPr>
        <w:tc>
          <w:tcPr>
            <w:tcW w:w="4896" w:type="dxa"/>
            <w:gridSpan w:val="3"/>
            <w:tcBorders>
              <w:bottom w:val="single" w:sz="12" w:space="0" w:color="17365D" w:themeColor="text2" w:themeShade="BF"/>
              <w:right w:val="single" w:sz="12" w:space="0" w:color="17365D" w:themeColor="text2" w:themeShade="BF"/>
            </w:tcBorders>
            <w:vAlign w:val="center"/>
          </w:tcPr>
          <w:p w:rsidR="008E7A5D" w:rsidRPr="00A15C81" w:rsidRDefault="008E7A5D" w:rsidP="008E7A5D">
            <w:pPr>
              <w:jc w:val="center"/>
              <w:rPr>
                <w:rStyle w:val="BookTitle"/>
              </w:rPr>
            </w:pPr>
            <w:r w:rsidRPr="00A15C81">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8E7A5D" w:rsidRPr="00A15C81" w:rsidRDefault="008E7A5D" w:rsidP="008E7A5D">
            <w:pPr>
              <w:jc w:val="center"/>
              <w:rPr>
                <w:rStyle w:val="BookTitle"/>
              </w:rPr>
            </w:pPr>
            <w:r w:rsidRPr="00A15C81">
              <w:rPr>
                <w:rStyle w:val="BookTitle"/>
              </w:rPr>
              <w:t>Measures</w:t>
            </w:r>
          </w:p>
        </w:tc>
      </w:tr>
      <w:tr w:rsidR="008E7A5D" w:rsidRPr="008E7A5D" w:rsidTr="004601D3">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8E7A5D" w:rsidRPr="004601D3" w:rsidRDefault="008E7A5D" w:rsidP="008E7A5D">
            <w:pPr>
              <w:rPr>
                <w:rFonts w:cs="Arial"/>
              </w:rPr>
            </w:pPr>
            <w:r w:rsidRPr="004601D3">
              <w:rPr>
                <w:rFonts w:cs="Arial"/>
              </w:rPr>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4601D3" w:rsidRDefault="008E7A5D" w:rsidP="008E7A5D">
            <w:pPr>
              <w:rPr>
                <w:rFonts w:cs="Arial"/>
              </w:rPr>
            </w:pPr>
            <w:r w:rsidRPr="004601D3">
              <w:rPr>
                <w:rFonts w:cs="Arial"/>
              </w:rPr>
              <w:t>Providers must be certified under Medicaid Project AIDS Care (PAC) Waiver and qualified to provide PAC Case Management services to eligible consumers.</w:t>
            </w:r>
          </w:p>
          <w:p w:rsidR="008E7A5D" w:rsidRPr="004601D3" w:rsidRDefault="008E7A5D" w:rsidP="008E7A5D">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4601D3" w:rsidRDefault="008E7A5D" w:rsidP="008E7A5D">
            <w:pPr>
              <w:rPr>
                <w:rFonts w:cs="Arial"/>
              </w:rPr>
            </w:pPr>
            <w:r w:rsidRPr="004601D3">
              <w:rPr>
                <w:rFonts w:cs="Arial"/>
              </w:rPr>
              <w:t>1.1</w:t>
            </w:r>
          </w:p>
        </w:tc>
        <w:tc>
          <w:tcPr>
            <w:tcW w:w="3960" w:type="dxa"/>
            <w:gridSpan w:val="2"/>
            <w:tcBorders>
              <w:top w:val="single" w:sz="12" w:space="0" w:color="17365D" w:themeColor="text2" w:themeShade="BF"/>
              <w:bottom w:val="single" w:sz="12" w:space="0" w:color="17365D" w:themeColor="text2" w:themeShade="BF"/>
            </w:tcBorders>
          </w:tcPr>
          <w:p w:rsidR="008E7A5D" w:rsidRPr="004601D3" w:rsidRDefault="008E7A5D" w:rsidP="008E7A5D">
            <w:pPr>
              <w:rPr>
                <w:rFonts w:cs="Arial"/>
              </w:rPr>
            </w:pPr>
            <w:r w:rsidRPr="004601D3">
              <w:rPr>
                <w:rFonts w:cs="Arial"/>
              </w:rPr>
              <w:t>Certification on file</w:t>
            </w:r>
          </w:p>
        </w:tc>
      </w:tr>
      <w:tr w:rsidR="008E7A5D" w:rsidRPr="008E7A5D" w:rsidTr="004601D3">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BD34E2" w:rsidRDefault="008E7A5D" w:rsidP="008E7A5D">
            <w:pPr>
              <w:rPr>
                <w:rFonts w:cs="Arial"/>
                <w:szCs w:val="24"/>
              </w:rPr>
            </w:pPr>
            <w:r w:rsidRPr="00BD34E2">
              <w:rPr>
                <w:rFonts w:cs="Arial"/>
                <w:szCs w:val="24"/>
              </w:rPr>
              <w:t>The agency shall maintain information about each Medical Case Manager’s caseload, which includes, at a minimum:</w:t>
            </w:r>
          </w:p>
          <w:p w:rsidR="008E7A5D" w:rsidRPr="00BD34E2" w:rsidRDefault="008E7A5D" w:rsidP="001B1B43">
            <w:pPr>
              <w:pStyle w:val="ListParagraph"/>
              <w:numPr>
                <w:ilvl w:val="0"/>
                <w:numId w:val="63"/>
              </w:numPr>
              <w:rPr>
                <w:rFonts w:cs="Arial"/>
                <w:szCs w:val="24"/>
              </w:rPr>
            </w:pPr>
            <w:r w:rsidRPr="00BD34E2">
              <w:rPr>
                <w:rFonts w:cs="Arial"/>
                <w:szCs w:val="24"/>
              </w:rPr>
              <w:t>Assigned Medical Case Manager;</w:t>
            </w:r>
          </w:p>
          <w:p w:rsidR="008E7A5D" w:rsidRPr="00BD34E2" w:rsidRDefault="008E7A5D" w:rsidP="001B1B43">
            <w:pPr>
              <w:pStyle w:val="ListParagraph"/>
              <w:numPr>
                <w:ilvl w:val="0"/>
                <w:numId w:val="63"/>
              </w:numPr>
              <w:rPr>
                <w:rFonts w:cs="Arial"/>
                <w:szCs w:val="24"/>
              </w:rPr>
            </w:pPr>
            <w:r w:rsidRPr="00BD34E2">
              <w:rPr>
                <w:rFonts w:cs="Arial"/>
                <w:szCs w:val="24"/>
              </w:rPr>
              <w:t>Number of cases per full-time equivalent (FTE); and,</w:t>
            </w:r>
          </w:p>
          <w:p w:rsidR="008E7A5D" w:rsidRPr="00BD34E2" w:rsidRDefault="008E7A5D" w:rsidP="001B1B43">
            <w:pPr>
              <w:pStyle w:val="ListParagraph"/>
              <w:numPr>
                <w:ilvl w:val="0"/>
                <w:numId w:val="63"/>
              </w:numPr>
              <w:rPr>
                <w:rFonts w:cs="Arial"/>
                <w:szCs w:val="24"/>
              </w:rPr>
            </w:pPr>
            <w:r w:rsidRPr="00BD34E2">
              <w:rPr>
                <w:rFonts w:cs="Arial"/>
                <w:szCs w:val="24"/>
              </w:rPr>
              <w:t>The acuity of each consumer.</w:t>
            </w:r>
          </w:p>
          <w:p w:rsidR="00112007" w:rsidRPr="00BD34E2" w:rsidRDefault="00112007" w:rsidP="00112007">
            <w:pPr>
              <w:pStyle w:val="ListParagraph"/>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1.2</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Documentation in agency records</w:t>
            </w:r>
          </w:p>
          <w:p w:rsidR="008E7A5D" w:rsidRPr="00BD34E2" w:rsidRDefault="008E7A5D" w:rsidP="008E7A5D">
            <w:pPr>
              <w:rPr>
                <w:rFonts w:cs="Arial"/>
                <w:szCs w:val="24"/>
              </w:rPr>
            </w:pPr>
          </w:p>
        </w:tc>
      </w:tr>
      <w:tr w:rsidR="008E7A5D" w:rsidRPr="008E7A5D" w:rsidTr="004601D3">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BD34E2" w:rsidRDefault="008E7A5D" w:rsidP="008E7A5D">
            <w:pPr>
              <w:rPr>
                <w:rFonts w:cs="Arial"/>
                <w:szCs w:val="24"/>
              </w:rPr>
            </w:pPr>
            <w:r w:rsidRPr="00BD34E2">
              <w:rPr>
                <w:rFonts w:cs="Arial"/>
                <w:szCs w:val="24"/>
              </w:rPr>
              <w:t>All Ryan White Medical Case Managers must meet at least one of the following staff qualifications:</w:t>
            </w:r>
          </w:p>
          <w:p w:rsidR="008E7A5D" w:rsidRPr="00BD34E2" w:rsidRDefault="00112007" w:rsidP="001B1B43">
            <w:pPr>
              <w:pStyle w:val="ListParagraph"/>
              <w:numPr>
                <w:ilvl w:val="0"/>
                <w:numId w:val="64"/>
              </w:numPr>
              <w:rPr>
                <w:rFonts w:cs="Arial"/>
                <w:szCs w:val="24"/>
              </w:rPr>
            </w:pPr>
            <w:r w:rsidRPr="00BD34E2">
              <w:rPr>
                <w:rFonts w:cs="Arial"/>
                <w:szCs w:val="24"/>
              </w:rPr>
              <w:t>Bachelor’s degree in a social science or health discipline;</w:t>
            </w:r>
          </w:p>
          <w:p w:rsidR="008E7A5D" w:rsidRPr="00BD34E2" w:rsidRDefault="00112007" w:rsidP="001B1B43">
            <w:pPr>
              <w:pStyle w:val="ListParagraph"/>
              <w:numPr>
                <w:ilvl w:val="0"/>
                <w:numId w:val="64"/>
              </w:numPr>
              <w:rPr>
                <w:rFonts w:cs="Arial"/>
                <w:szCs w:val="24"/>
              </w:rPr>
            </w:pPr>
            <w:r w:rsidRPr="00BD34E2">
              <w:rPr>
                <w:rFonts w:cs="Arial"/>
                <w:szCs w:val="24"/>
              </w:rPr>
              <w:t>An individual with a bachelor’s degree in disciplines other than social science must have at least six (6) months direct case management experience;</w:t>
            </w:r>
          </w:p>
          <w:p w:rsidR="008E7A5D" w:rsidRPr="00BD34E2" w:rsidRDefault="008E7A5D" w:rsidP="001B1B43">
            <w:pPr>
              <w:pStyle w:val="ListParagraph"/>
              <w:numPr>
                <w:ilvl w:val="0"/>
                <w:numId w:val="64"/>
              </w:numPr>
              <w:rPr>
                <w:rFonts w:cs="Arial"/>
                <w:szCs w:val="24"/>
              </w:rPr>
            </w:pPr>
            <w:r w:rsidRPr="00BD34E2">
              <w:rPr>
                <w:rFonts w:cs="Arial"/>
                <w:szCs w:val="24"/>
              </w:rPr>
              <w:t>Florida licensed registered nurse with at least one year of case management experience;</w:t>
            </w:r>
          </w:p>
          <w:p w:rsidR="008E7A5D" w:rsidRPr="00BD34E2" w:rsidRDefault="008E7A5D" w:rsidP="001B1B43">
            <w:pPr>
              <w:pStyle w:val="ListParagraph"/>
              <w:numPr>
                <w:ilvl w:val="0"/>
                <w:numId w:val="64"/>
              </w:numPr>
              <w:rPr>
                <w:rFonts w:cs="Arial"/>
                <w:szCs w:val="24"/>
              </w:rPr>
            </w:pPr>
            <w:r w:rsidRPr="00BD34E2">
              <w:rPr>
                <w:rFonts w:cs="Arial"/>
                <w:szCs w:val="24"/>
              </w:rPr>
              <w:t>An individual with a master’s degree other than a social science or health can substitute their degree for six (6) months of direct case management experience.</w:t>
            </w:r>
          </w:p>
          <w:p w:rsidR="00112007" w:rsidRPr="00BD34E2" w:rsidRDefault="00112007" w:rsidP="00112007">
            <w:pPr>
              <w:pStyle w:val="ListParagraph"/>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1.3</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Appropriate degrees, licensure and/or certification in personnel file</w:t>
            </w:r>
          </w:p>
        </w:tc>
      </w:tr>
      <w:tr w:rsidR="008E7A5D" w:rsidRPr="008E7A5D" w:rsidTr="004601D3">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 xml:space="preserve">1.4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BD34E2" w:rsidRDefault="008E7A5D" w:rsidP="008E7A5D">
            <w:pPr>
              <w:rPr>
                <w:rFonts w:cs="Arial"/>
                <w:szCs w:val="24"/>
              </w:rPr>
            </w:pPr>
            <w:r w:rsidRPr="00BD34E2">
              <w:rPr>
                <w:rFonts w:cs="Arial"/>
                <w:szCs w:val="24"/>
              </w:rPr>
              <w:t>All Medical Case Management supervisors must  meet the following requirement:</w:t>
            </w:r>
          </w:p>
          <w:p w:rsidR="004601D3" w:rsidRDefault="008E7A5D" w:rsidP="001B1B43">
            <w:pPr>
              <w:pStyle w:val="ListParagraph"/>
              <w:numPr>
                <w:ilvl w:val="0"/>
                <w:numId w:val="65"/>
              </w:numPr>
              <w:rPr>
                <w:rFonts w:cs="Arial"/>
                <w:szCs w:val="24"/>
              </w:rPr>
            </w:pPr>
            <w:r w:rsidRPr="00BD34E2">
              <w:rPr>
                <w:rFonts w:cs="Arial"/>
                <w:szCs w:val="24"/>
              </w:rPr>
              <w:t xml:space="preserve">Hold a Master’s Degree in the fields of mental health, social </w:t>
            </w:r>
            <w:r w:rsidRPr="00BD34E2">
              <w:rPr>
                <w:rFonts w:cs="Arial"/>
                <w:szCs w:val="24"/>
              </w:rPr>
              <w:lastRenderedPageBreak/>
              <w:t>work, counse</w:t>
            </w:r>
            <w:r w:rsidR="00112007" w:rsidRPr="00BD34E2">
              <w:rPr>
                <w:rFonts w:cs="Arial"/>
                <w:szCs w:val="24"/>
              </w:rPr>
              <w:t>ling, social science or nursing.</w:t>
            </w:r>
          </w:p>
          <w:p w:rsidR="004601D3" w:rsidRPr="00BD34E2" w:rsidRDefault="004601D3" w:rsidP="004601D3">
            <w:pPr>
              <w:pStyle w:val="ListParagraph"/>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lastRenderedPageBreak/>
              <w:t>1.4</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Appropriate degrees, licensure and/or certification in personnel file.</w:t>
            </w:r>
          </w:p>
        </w:tc>
      </w:tr>
      <w:tr w:rsidR="008E7A5D" w:rsidRPr="008E7A5D" w:rsidTr="004601D3">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lastRenderedPageBreak/>
              <w:t>1.5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BD34E2" w:rsidRDefault="008E7A5D" w:rsidP="008E7A5D">
            <w:pPr>
              <w:rPr>
                <w:rFonts w:cs="Arial"/>
                <w:szCs w:val="24"/>
              </w:rPr>
            </w:pPr>
            <w:r w:rsidRPr="00BD34E2">
              <w:rPr>
                <w:rFonts w:cs="Arial"/>
                <w:szCs w:val="24"/>
              </w:rPr>
              <w:t>Medical Case Management supervisors and Medical Case Managers shall complete:</w:t>
            </w:r>
          </w:p>
          <w:p w:rsidR="008E7A5D" w:rsidRPr="00BD34E2" w:rsidRDefault="008E7A5D" w:rsidP="001B1B43">
            <w:pPr>
              <w:pStyle w:val="ListParagraph"/>
              <w:numPr>
                <w:ilvl w:val="0"/>
                <w:numId w:val="65"/>
              </w:numPr>
              <w:rPr>
                <w:rFonts w:cs="Arial"/>
                <w:szCs w:val="24"/>
              </w:rPr>
            </w:pPr>
            <w:r w:rsidRPr="00BD34E2">
              <w:rPr>
                <w:rFonts w:cs="Arial"/>
                <w:szCs w:val="24"/>
              </w:rPr>
              <w:t>HIV/AIDS in the News (HIV/AIDS 101) within three (3) months of hire;</w:t>
            </w:r>
          </w:p>
          <w:p w:rsidR="008E7A5D" w:rsidRPr="00BD34E2" w:rsidRDefault="008E7A5D" w:rsidP="001B1B43">
            <w:pPr>
              <w:pStyle w:val="ListParagraph"/>
              <w:numPr>
                <w:ilvl w:val="0"/>
                <w:numId w:val="65"/>
              </w:numPr>
              <w:rPr>
                <w:rFonts w:cs="Arial"/>
                <w:szCs w:val="24"/>
              </w:rPr>
            </w:pPr>
            <w:r w:rsidRPr="00BD34E2">
              <w:rPr>
                <w:rFonts w:cs="Arial"/>
                <w:szCs w:val="24"/>
              </w:rPr>
              <w:t>HIV/AIDS 501 courses within one (1) year of hire.</w:t>
            </w:r>
            <w:r w:rsidRPr="00BD34E2">
              <w:rPr>
                <w:szCs w:val="24"/>
              </w:rPr>
              <w:t xml:space="preserve"> </w:t>
            </w:r>
          </w:p>
          <w:p w:rsidR="008E7A5D" w:rsidRPr="00BD34E2" w:rsidRDefault="008E7A5D" w:rsidP="001B1B43">
            <w:pPr>
              <w:pStyle w:val="ListParagraph"/>
              <w:numPr>
                <w:ilvl w:val="0"/>
                <w:numId w:val="65"/>
              </w:numPr>
              <w:rPr>
                <w:rFonts w:cs="Arial"/>
                <w:szCs w:val="24"/>
              </w:rPr>
            </w:pPr>
            <w:r w:rsidRPr="00BD34E2">
              <w:rPr>
                <w:rFonts w:cs="Arial"/>
                <w:szCs w:val="24"/>
              </w:rPr>
              <w:t>The Florida Caribbean AETC Case Manager modules within three (3) months of hire; and</w:t>
            </w:r>
          </w:p>
          <w:p w:rsidR="008E7A5D" w:rsidRPr="00BD34E2" w:rsidRDefault="008E7A5D" w:rsidP="001B1B43">
            <w:pPr>
              <w:pStyle w:val="ListParagraph"/>
              <w:numPr>
                <w:ilvl w:val="0"/>
                <w:numId w:val="65"/>
              </w:numPr>
              <w:rPr>
                <w:rFonts w:cs="Arial"/>
                <w:szCs w:val="24"/>
              </w:rPr>
            </w:pPr>
            <w:r w:rsidRPr="00BD34E2">
              <w:rPr>
                <w:rFonts w:cs="Arial"/>
                <w:szCs w:val="24"/>
              </w:rPr>
              <w:t>Ryan White Eligibility training within 30 days.</w:t>
            </w:r>
          </w:p>
          <w:p w:rsidR="008E7A5D" w:rsidRPr="00BD34E2" w:rsidRDefault="008E7A5D" w:rsidP="008E7A5D">
            <w:pPr>
              <w:rPr>
                <w:rFonts w:cs="Arial"/>
                <w:szCs w:val="24"/>
              </w:rPr>
            </w:pPr>
          </w:p>
          <w:p w:rsidR="008E7A5D" w:rsidRPr="00BD34E2" w:rsidRDefault="008E7A5D" w:rsidP="008E7A5D">
            <w:pPr>
              <w:rPr>
                <w:rFonts w:cs="Arial"/>
                <w:b/>
                <w:szCs w:val="24"/>
              </w:rPr>
            </w:pPr>
            <w:r w:rsidRPr="004601D3">
              <w:rPr>
                <w:rFonts w:cs="Arial"/>
                <w:b/>
                <w:i/>
                <w:sz w:val="22"/>
                <w:szCs w:val="24"/>
              </w:rPr>
              <w:t xml:space="preserve">Note: trainings may be taken on line at:  </w:t>
            </w:r>
            <w:hyperlink r:id="rId50" w:history="1">
              <w:r w:rsidRPr="004601D3">
                <w:rPr>
                  <w:rFonts w:cs="Arial"/>
                  <w:b/>
                  <w:color w:val="0000FF"/>
                  <w:sz w:val="22"/>
                  <w:szCs w:val="24"/>
                  <w:u w:val="single"/>
                </w:rPr>
                <w:t>https://fl.train.org</w:t>
              </w:r>
            </w:hyperlink>
            <w:r w:rsidRPr="004601D3">
              <w:rPr>
                <w:rFonts w:cs="Arial"/>
                <w:b/>
                <w:sz w:val="22"/>
                <w:szCs w:val="24"/>
              </w:rPr>
              <w:t xml:space="preserve">    </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1.5</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Documentation of the following will be in the employee file:</w:t>
            </w:r>
          </w:p>
          <w:p w:rsidR="008E7A5D" w:rsidRPr="00BD34E2" w:rsidRDefault="008E7A5D" w:rsidP="001B1B43">
            <w:pPr>
              <w:pStyle w:val="ListParagraph"/>
              <w:numPr>
                <w:ilvl w:val="0"/>
                <w:numId w:val="66"/>
              </w:numPr>
              <w:rPr>
                <w:rFonts w:cs="Arial"/>
                <w:szCs w:val="24"/>
              </w:rPr>
            </w:pPr>
            <w:r w:rsidRPr="00BD34E2">
              <w:rPr>
                <w:rFonts w:cs="Arial"/>
                <w:szCs w:val="24"/>
              </w:rPr>
              <w:t>Proficiency certification within one (1) year; AETC certificate within 3 months of hire</w:t>
            </w:r>
          </w:p>
          <w:p w:rsidR="008E7A5D" w:rsidRPr="00BD34E2" w:rsidRDefault="008E7A5D" w:rsidP="001B1B43">
            <w:pPr>
              <w:pStyle w:val="ListParagraph"/>
              <w:numPr>
                <w:ilvl w:val="0"/>
                <w:numId w:val="66"/>
              </w:numPr>
              <w:rPr>
                <w:rFonts w:cs="Arial"/>
                <w:szCs w:val="24"/>
              </w:rPr>
            </w:pPr>
            <w:r w:rsidRPr="00BD34E2">
              <w:rPr>
                <w:rFonts w:cs="Arial"/>
                <w:szCs w:val="24"/>
              </w:rPr>
              <w:t>Eligibility training certificate within 30 days of hire</w:t>
            </w:r>
          </w:p>
          <w:p w:rsidR="008E7A5D" w:rsidRPr="00BD34E2" w:rsidRDefault="008E7A5D" w:rsidP="001B1B43">
            <w:pPr>
              <w:pStyle w:val="ListParagraph"/>
              <w:numPr>
                <w:ilvl w:val="0"/>
                <w:numId w:val="66"/>
              </w:numPr>
              <w:rPr>
                <w:rFonts w:cs="Arial"/>
                <w:szCs w:val="24"/>
              </w:rPr>
            </w:pPr>
            <w:r w:rsidRPr="00BD34E2">
              <w:rPr>
                <w:rFonts w:cs="Arial"/>
                <w:szCs w:val="24"/>
              </w:rPr>
              <w:t>HIV/AIDS in the News dated within three (3) months of hire;</w:t>
            </w:r>
          </w:p>
          <w:p w:rsidR="008E7A5D" w:rsidRPr="00BD34E2" w:rsidRDefault="008E7A5D" w:rsidP="001B1B43">
            <w:pPr>
              <w:pStyle w:val="ListParagraph"/>
              <w:numPr>
                <w:ilvl w:val="0"/>
                <w:numId w:val="66"/>
              </w:numPr>
              <w:rPr>
                <w:rFonts w:cs="Arial"/>
                <w:szCs w:val="24"/>
              </w:rPr>
            </w:pPr>
            <w:r w:rsidRPr="00BD34E2">
              <w:rPr>
                <w:rFonts w:cs="Arial"/>
                <w:szCs w:val="24"/>
              </w:rPr>
              <w:t>501 certificate dated within one (1) year of hire;</w:t>
            </w:r>
          </w:p>
          <w:p w:rsidR="008E7A5D" w:rsidRPr="00BD34E2" w:rsidRDefault="008E7A5D" w:rsidP="001B1B43">
            <w:pPr>
              <w:pStyle w:val="ListParagraph"/>
              <w:numPr>
                <w:ilvl w:val="0"/>
                <w:numId w:val="66"/>
              </w:numPr>
              <w:rPr>
                <w:rFonts w:cs="Arial"/>
                <w:szCs w:val="24"/>
              </w:rPr>
            </w:pPr>
            <w:r w:rsidRPr="00BD34E2">
              <w:rPr>
                <w:rFonts w:cs="Arial"/>
                <w:szCs w:val="24"/>
              </w:rPr>
              <w:t>Proof of attendance, certificate or other documentation including training subject matter, date(s) of attendance and hours in agency training record</w:t>
            </w:r>
          </w:p>
          <w:p w:rsidR="008E7A5D" w:rsidRPr="00BD34E2" w:rsidRDefault="00112007" w:rsidP="001B1B43">
            <w:pPr>
              <w:pStyle w:val="ListParagraph"/>
              <w:numPr>
                <w:ilvl w:val="0"/>
                <w:numId w:val="66"/>
              </w:numPr>
              <w:rPr>
                <w:rFonts w:cs="Arial"/>
                <w:szCs w:val="24"/>
              </w:rPr>
            </w:pPr>
            <w:r w:rsidRPr="00BD34E2">
              <w:rPr>
                <w:rFonts w:cs="Arial"/>
                <w:szCs w:val="24"/>
              </w:rPr>
              <w:t>Training certificate</w:t>
            </w:r>
          </w:p>
          <w:p w:rsidR="00112007" w:rsidRPr="00BD34E2" w:rsidRDefault="00112007" w:rsidP="00112007">
            <w:pPr>
              <w:pStyle w:val="ListParagraph"/>
              <w:rPr>
                <w:rFonts w:cs="Arial"/>
                <w:szCs w:val="24"/>
              </w:rPr>
            </w:pPr>
          </w:p>
        </w:tc>
      </w:tr>
      <w:tr w:rsidR="008E7A5D" w:rsidRPr="008E7A5D" w:rsidTr="004601D3">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BD34E2" w:rsidRDefault="008E7A5D" w:rsidP="008E7A5D">
            <w:pPr>
              <w:rPr>
                <w:rFonts w:cs="Arial"/>
                <w:szCs w:val="24"/>
              </w:rPr>
            </w:pPr>
            <w:r w:rsidRPr="00BD34E2">
              <w:rPr>
                <w:rFonts w:cs="Arial"/>
                <w:szCs w:val="24"/>
              </w:rPr>
              <w:t>Medical Case Management supervisors shall have 12 hours of training annually as approved by the Recipient’s office. At least six (6) of the twelve (12) hours shall be leadership training. other training topics shall include the following:</w:t>
            </w:r>
          </w:p>
          <w:p w:rsidR="008E7A5D" w:rsidRPr="00BD34E2" w:rsidRDefault="008E7A5D" w:rsidP="001B1B43">
            <w:pPr>
              <w:pStyle w:val="ListParagraph"/>
              <w:numPr>
                <w:ilvl w:val="0"/>
                <w:numId w:val="67"/>
              </w:numPr>
              <w:rPr>
                <w:rFonts w:cs="Arial"/>
                <w:szCs w:val="24"/>
              </w:rPr>
            </w:pPr>
            <w:r w:rsidRPr="00BD34E2">
              <w:rPr>
                <w:rFonts w:cs="Arial"/>
                <w:szCs w:val="24"/>
              </w:rPr>
              <w:t>The basics of HIV care and treatment;</w:t>
            </w:r>
          </w:p>
          <w:p w:rsidR="008E7A5D" w:rsidRPr="00BD34E2" w:rsidRDefault="008E7A5D" w:rsidP="001B1B43">
            <w:pPr>
              <w:pStyle w:val="ListParagraph"/>
              <w:numPr>
                <w:ilvl w:val="0"/>
                <w:numId w:val="67"/>
              </w:numPr>
              <w:rPr>
                <w:rFonts w:cs="Arial"/>
                <w:szCs w:val="24"/>
              </w:rPr>
            </w:pPr>
            <w:r w:rsidRPr="00BD34E2">
              <w:rPr>
                <w:rFonts w:cs="Arial"/>
                <w:szCs w:val="24"/>
              </w:rPr>
              <w:t>Appropriate boundaries;</w:t>
            </w:r>
          </w:p>
          <w:p w:rsidR="004601D3" w:rsidRDefault="008E7A5D" w:rsidP="001B1B43">
            <w:pPr>
              <w:pStyle w:val="ListParagraph"/>
              <w:numPr>
                <w:ilvl w:val="0"/>
                <w:numId w:val="67"/>
              </w:numPr>
              <w:rPr>
                <w:rFonts w:cs="Arial"/>
                <w:szCs w:val="24"/>
              </w:rPr>
            </w:pPr>
            <w:r w:rsidRPr="00BD34E2">
              <w:rPr>
                <w:rFonts w:cs="Arial"/>
                <w:szCs w:val="24"/>
              </w:rPr>
              <w:t>Necessary communication skills relating to specific HIV issues such as principles for treatment and housing, precautions for caregivers and HIV-infected individuals, and pre-and post-test counseling and social and legal aspects relevant to this service population.</w:t>
            </w:r>
          </w:p>
          <w:p w:rsidR="004601D3" w:rsidRPr="004601D3" w:rsidRDefault="004601D3" w:rsidP="004601D3">
            <w:pPr>
              <w:pStyle w:val="ListParagraph"/>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1.6</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Documentation of the training shall be in the employee training record. Training certificates shall be in the employee file.</w:t>
            </w:r>
          </w:p>
        </w:tc>
      </w:tr>
      <w:tr w:rsidR="008E7A5D" w:rsidRPr="008E7A5D" w:rsidTr="004601D3">
        <w:trPr>
          <w:gridAfter w:val="1"/>
          <w:wAfter w:w="18" w:type="dxa"/>
          <w:trHeight w:val="7989"/>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lastRenderedPageBreak/>
              <w:t>1.7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BD34E2" w:rsidRDefault="008E7A5D" w:rsidP="008E7A5D">
            <w:pPr>
              <w:rPr>
                <w:rFonts w:cs="Arial"/>
                <w:szCs w:val="24"/>
              </w:rPr>
            </w:pPr>
            <w:r w:rsidRPr="00BD34E2">
              <w:rPr>
                <w:rFonts w:cs="Arial"/>
                <w:szCs w:val="24"/>
              </w:rPr>
              <w:t>Medical Case Managers shall receive 15 hours of training annually. Training shall be approved by the Recipient.  Topics shall include:</w:t>
            </w:r>
          </w:p>
          <w:p w:rsidR="008E7A5D" w:rsidRPr="00BD34E2" w:rsidRDefault="008E7A5D" w:rsidP="001B1B43">
            <w:pPr>
              <w:pStyle w:val="ListParagraph"/>
              <w:numPr>
                <w:ilvl w:val="0"/>
                <w:numId w:val="68"/>
              </w:numPr>
              <w:rPr>
                <w:rFonts w:cs="Arial"/>
                <w:szCs w:val="24"/>
              </w:rPr>
            </w:pPr>
            <w:r w:rsidRPr="00BD34E2">
              <w:rPr>
                <w:rFonts w:cs="Arial"/>
                <w:szCs w:val="24"/>
              </w:rPr>
              <w:t>Establishing rapport and a professional relationship with the consumer;</w:t>
            </w:r>
          </w:p>
          <w:p w:rsidR="008E7A5D" w:rsidRPr="00BD34E2" w:rsidRDefault="008E7A5D" w:rsidP="001B1B43">
            <w:pPr>
              <w:pStyle w:val="ListParagraph"/>
              <w:numPr>
                <w:ilvl w:val="0"/>
                <w:numId w:val="68"/>
              </w:numPr>
              <w:rPr>
                <w:rFonts w:cs="Arial"/>
                <w:szCs w:val="24"/>
              </w:rPr>
            </w:pPr>
            <w:r w:rsidRPr="00BD34E2">
              <w:rPr>
                <w:rFonts w:cs="Arial"/>
                <w:szCs w:val="24"/>
              </w:rPr>
              <w:t>Methods of engaging individuals;</w:t>
            </w:r>
          </w:p>
          <w:p w:rsidR="008E7A5D" w:rsidRPr="00BD34E2" w:rsidRDefault="008E7A5D" w:rsidP="001B1B43">
            <w:pPr>
              <w:pStyle w:val="ListParagraph"/>
              <w:numPr>
                <w:ilvl w:val="0"/>
                <w:numId w:val="68"/>
              </w:numPr>
              <w:rPr>
                <w:rFonts w:cs="Arial"/>
                <w:szCs w:val="24"/>
              </w:rPr>
            </w:pPr>
            <w:r w:rsidRPr="00BD34E2">
              <w:rPr>
                <w:rFonts w:cs="Arial"/>
                <w:szCs w:val="24"/>
              </w:rPr>
              <w:t>Special issues relating to working with the HIV/AIDS affected/infected population;</w:t>
            </w:r>
          </w:p>
          <w:p w:rsidR="008E7A5D" w:rsidRPr="00BD34E2" w:rsidRDefault="008E7A5D" w:rsidP="001B1B43">
            <w:pPr>
              <w:pStyle w:val="ListParagraph"/>
              <w:numPr>
                <w:ilvl w:val="0"/>
                <w:numId w:val="68"/>
              </w:numPr>
              <w:rPr>
                <w:rFonts w:cs="Arial"/>
                <w:szCs w:val="24"/>
              </w:rPr>
            </w:pPr>
            <w:r w:rsidRPr="00BD34E2">
              <w:rPr>
                <w:rFonts w:cs="Arial"/>
                <w:szCs w:val="24"/>
              </w:rPr>
              <w:t>Confidentiality/HIPAA and professional ethics;</w:t>
            </w:r>
          </w:p>
          <w:p w:rsidR="008E7A5D" w:rsidRPr="00BD34E2" w:rsidRDefault="008E7A5D" w:rsidP="001B1B43">
            <w:pPr>
              <w:pStyle w:val="ListParagraph"/>
              <w:numPr>
                <w:ilvl w:val="0"/>
                <w:numId w:val="68"/>
              </w:numPr>
              <w:rPr>
                <w:rFonts w:cs="Arial"/>
                <w:szCs w:val="24"/>
              </w:rPr>
            </w:pPr>
            <w:r w:rsidRPr="00BD34E2">
              <w:rPr>
                <w:rFonts w:cs="Arial"/>
                <w:szCs w:val="24"/>
              </w:rPr>
              <w:t>Knowledge of public assistance programs, eligibility requirements, and benefits; and,</w:t>
            </w:r>
          </w:p>
          <w:p w:rsidR="008E7A5D" w:rsidRPr="00BD34E2" w:rsidRDefault="008E7A5D" w:rsidP="001B1B43">
            <w:pPr>
              <w:pStyle w:val="ListParagraph"/>
              <w:numPr>
                <w:ilvl w:val="0"/>
                <w:numId w:val="68"/>
              </w:numPr>
              <w:rPr>
                <w:rFonts w:cs="Arial"/>
                <w:szCs w:val="24"/>
              </w:rPr>
            </w:pPr>
            <w:r w:rsidRPr="00BD34E2">
              <w:rPr>
                <w:rFonts w:cs="Arial"/>
                <w:szCs w:val="24"/>
              </w:rPr>
              <w:t>The Agency’s emergency plan, disaster relief resources, and planning and procedures.</w:t>
            </w:r>
          </w:p>
          <w:p w:rsidR="008E7A5D" w:rsidRPr="00BD34E2" w:rsidRDefault="008E7A5D" w:rsidP="008E7A5D">
            <w:pPr>
              <w:ind w:left="360"/>
              <w:contextualSpacing/>
              <w:rPr>
                <w:rFonts w:cs="Arial"/>
                <w:szCs w:val="24"/>
              </w:rPr>
            </w:pPr>
          </w:p>
          <w:p w:rsidR="008E7A5D" w:rsidRPr="00BD34E2" w:rsidRDefault="008E7A5D" w:rsidP="008E7A5D">
            <w:pPr>
              <w:rPr>
                <w:rFonts w:cs="Arial"/>
                <w:szCs w:val="24"/>
              </w:rPr>
            </w:pPr>
            <w:r w:rsidRPr="00BD34E2">
              <w:rPr>
                <w:rFonts w:cs="Arial"/>
                <w:szCs w:val="24"/>
              </w:rPr>
              <w:t>Training shall also include, but not be limited to, cultural sensitivity issues, case management issues, bio-psychosocial issues surrounding the HIV disease, and any other training proposed by the Recipient.</w:t>
            </w:r>
          </w:p>
          <w:p w:rsidR="00112007" w:rsidRPr="004601D3" w:rsidRDefault="00112007" w:rsidP="008E7A5D">
            <w:pPr>
              <w:rPr>
                <w:rFonts w:cs="Arial"/>
                <w:sz w:val="20"/>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1.7</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Documentation of the training subject matter, date(s) of attendance and hours in training shall be in the training record. Training certificates shall be in the employee file.</w:t>
            </w:r>
          </w:p>
        </w:tc>
      </w:tr>
      <w:tr w:rsidR="008E7A5D" w:rsidRPr="008E7A5D" w:rsidTr="004601D3">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BD34E2" w:rsidRDefault="008E7A5D" w:rsidP="008E7A5D">
            <w:pPr>
              <w:rPr>
                <w:rFonts w:cs="Arial"/>
                <w:szCs w:val="24"/>
              </w:rPr>
            </w:pPr>
            <w:r w:rsidRPr="00BD34E2">
              <w:rPr>
                <w:rFonts w:cs="Arial"/>
                <w:szCs w:val="24"/>
              </w:rPr>
              <w:t>Medical Case Management supervisors and Medical Case Managers shall comply with all training requirements mandated by the Orlando EMA Ryan White Part A Recipient’s Office.</w:t>
            </w:r>
          </w:p>
          <w:p w:rsidR="00112007" w:rsidRPr="00BD34E2" w:rsidRDefault="00112007" w:rsidP="008E7A5D">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1.8</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Documentation of all training shall be in the personnel file.</w:t>
            </w:r>
          </w:p>
        </w:tc>
      </w:tr>
      <w:tr w:rsidR="008E7A5D" w:rsidRPr="008E7A5D" w:rsidTr="004601D3">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1.9</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BD34E2" w:rsidRDefault="008E7A5D" w:rsidP="008E7A5D">
            <w:pPr>
              <w:rPr>
                <w:rFonts w:cs="Arial"/>
                <w:szCs w:val="24"/>
              </w:rPr>
            </w:pPr>
            <w:r w:rsidRPr="00BD34E2">
              <w:rPr>
                <w:rFonts w:cs="Arial"/>
                <w:szCs w:val="24"/>
              </w:rPr>
              <w:t>Medical professionals shall be responsible for maintaining their licensure per Florida State Requirements.</w:t>
            </w:r>
          </w:p>
          <w:p w:rsidR="00112007" w:rsidRPr="00BD34E2" w:rsidRDefault="00112007" w:rsidP="008E7A5D">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1.9</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Copies of licenses will be in personnel file</w:t>
            </w:r>
          </w:p>
        </w:tc>
      </w:tr>
      <w:tr w:rsidR="008E7A5D" w:rsidRPr="008E7A5D" w:rsidTr="004601D3">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1.10</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112007" w:rsidRPr="00BD34E2" w:rsidRDefault="008E7A5D" w:rsidP="004601D3">
            <w:pPr>
              <w:rPr>
                <w:rFonts w:cs="Arial"/>
                <w:szCs w:val="24"/>
              </w:rPr>
            </w:pPr>
            <w:r w:rsidRPr="00BD34E2">
              <w:rPr>
                <w:rFonts w:cs="Arial"/>
                <w:szCs w:val="24"/>
              </w:rPr>
              <w:t>Medical Case Managers must be aware of and able to refer and link consumers to providers qualified to provide Project AIDS Care Case Management services to eligible consumers.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1.10</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szCs w:val="24"/>
              </w:rPr>
            </w:pPr>
            <w:r w:rsidRPr="00BD34E2">
              <w:rPr>
                <w:rFonts w:cs="Arial"/>
                <w:szCs w:val="24"/>
              </w:rPr>
              <w:t>Documentation of all referrals will be noted in PE.</w:t>
            </w:r>
          </w:p>
        </w:tc>
      </w:tr>
      <w:tr w:rsidR="008E7A5D" w:rsidRPr="008E7A5D" w:rsidTr="0046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9576" w:type="dxa"/>
            <w:gridSpan w:val="7"/>
            <w:tcBorders>
              <w:top w:val="single" w:sz="12" w:space="0" w:color="auto"/>
              <w:left w:val="nil"/>
              <w:bottom w:val="single" w:sz="12" w:space="0" w:color="auto"/>
              <w:right w:val="nil"/>
            </w:tcBorders>
          </w:tcPr>
          <w:p w:rsidR="008E7A5D" w:rsidRPr="008E7A5D" w:rsidRDefault="008E7A5D" w:rsidP="00112007">
            <w:pPr>
              <w:pStyle w:val="Heading3"/>
              <w:spacing w:before="0"/>
              <w:outlineLvl w:val="2"/>
              <w:rPr>
                <w:rFonts w:eastAsia="Calibri"/>
                <w:bCs/>
              </w:rPr>
            </w:pPr>
            <w:bookmarkStart w:id="60" w:name="_Toc489280899"/>
            <w:r w:rsidRPr="00112007">
              <w:rPr>
                <w:rFonts w:eastAsia="Calibri"/>
                <w:bCs/>
                <w:sz w:val="28"/>
              </w:rPr>
              <w:lastRenderedPageBreak/>
              <w:t>2.0 Eligibility Assessment</w:t>
            </w:r>
            <w:bookmarkEnd w:id="60"/>
          </w:p>
        </w:tc>
      </w:tr>
    </w:tbl>
    <w:p w:rsidR="008E7A5D" w:rsidRDefault="008E7A5D" w:rsidP="008E7A5D">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4601D3" w:rsidTr="004601D3">
        <w:tc>
          <w:tcPr>
            <w:tcW w:w="9576" w:type="dxa"/>
            <w:tcBorders>
              <w:top w:val="nil"/>
              <w:left w:val="nil"/>
              <w:bottom w:val="nil"/>
              <w:right w:val="nil"/>
            </w:tcBorders>
          </w:tcPr>
          <w:p w:rsidR="004601D3" w:rsidRDefault="004601D3" w:rsidP="004601D3">
            <w:pPr>
              <w:rPr>
                <w:rFonts w:cs="Arial"/>
              </w:rPr>
            </w:pPr>
            <w:r w:rsidRPr="008E7A5D">
              <w:rPr>
                <w:rFonts w:cs="Arial"/>
              </w:rPr>
              <w:t>Medical Case Managers shall determine eligibility for services as evidenced by documentation via an eligibility assessment. Verification that the consumer meets the current eligibility requirements must be obtained prior to payment for services.</w:t>
            </w:r>
          </w:p>
        </w:tc>
      </w:tr>
    </w:tbl>
    <w:p w:rsidR="008E7A5D" w:rsidRPr="008E7A5D" w:rsidRDefault="008E7A5D" w:rsidP="008E7A5D">
      <w:pPr>
        <w:spacing w:after="0" w:line="240" w:lineRule="auto"/>
        <w:jc w:val="both"/>
        <w:rPr>
          <w:rFonts w:ascii="Arial" w:hAnsi="Arial" w:cs="Arial"/>
          <w:sz w:val="24"/>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18"/>
        <w:gridCol w:w="684"/>
        <w:gridCol w:w="18"/>
        <w:gridCol w:w="3942"/>
        <w:gridCol w:w="18"/>
      </w:tblGrid>
      <w:tr w:rsidR="008E7A5D" w:rsidRPr="008E7A5D" w:rsidTr="00665E1E">
        <w:trPr>
          <w:gridAfter w:val="1"/>
          <w:wAfter w:w="18" w:type="dxa"/>
          <w:trHeight w:hRule="exact" w:val="360"/>
        </w:trPr>
        <w:tc>
          <w:tcPr>
            <w:tcW w:w="9558" w:type="dxa"/>
            <w:gridSpan w:val="7"/>
            <w:shd w:val="clear" w:color="auto" w:fill="17365D" w:themeFill="text2" w:themeFillShade="BF"/>
          </w:tcPr>
          <w:p w:rsidR="008E7A5D" w:rsidRPr="008E7A5D" w:rsidRDefault="008E7A5D" w:rsidP="00112007">
            <w:pPr>
              <w:pStyle w:val="Heading4"/>
              <w:spacing w:before="0"/>
              <w:outlineLvl w:val="3"/>
              <w:rPr>
                <w:rFonts w:eastAsia="Calibri"/>
              </w:rPr>
            </w:pPr>
            <w:r w:rsidRPr="00112007">
              <w:rPr>
                <w:rFonts w:eastAsia="Calibri"/>
                <w:color w:val="FFFFFF" w:themeColor="background1"/>
                <w:sz w:val="28"/>
              </w:rPr>
              <w:t>2.0 Eligibility Assessment</w:t>
            </w:r>
          </w:p>
        </w:tc>
      </w:tr>
      <w:tr w:rsidR="008E7A5D" w:rsidRPr="008E7A5D" w:rsidTr="00665E1E">
        <w:trPr>
          <w:gridAfter w:val="1"/>
          <w:wAfter w:w="18" w:type="dxa"/>
          <w:trHeight w:hRule="exact" w:val="288"/>
        </w:trPr>
        <w:tc>
          <w:tcPr>
            <w:tcW w:w="720" w:type="dxa"/>
          </w:tcPr>
          <w:p w:rsidR="008E7A5D" w:rsidRPr="008E7A5D" w:rsidRDefault="008E7A5D" w:rsidP="008E7A5D">
            <w:pPr>
              <w:rPr>
                <w:rFonts w:cs="Arial"/>
              </w:rPr>
            </w:pPr>
          </w:p>
        </w:tc>
        <w:tc>
          <w:tcPr>
            <w:tcW w:w="4176" w:type="dxa"/>
            <w:gridSpan w:val="2"/>
          </w:tcPr>
          <w:p w:rsidR="008E7A5D" w:rsidRPr="008E7A5D" w:rsidRDefault="008E7A5D" w:rsidP="008E7A5D">
            <w:pPr>
              <w:rPr>
                <w:rFonts w:cs="Arial"/>
              </w:rPr>
            </w:pPr>
          </w:p>
        </w:tc>
        <w:tc>
          <w:tcPr>
            <w:tcW w:w="720" w:type="dxa"/>
            <w:gridSpan w:val="3"/>
          </w:tcPr>
          <w:p w:rsidR="008E7A5D" w:rsidRPr="008E7A5D" w:rsidRDefault="008E7A5D" w:rsidP="008E7A5D">
            <w:pPr>
              <w:rPr>
                <w:rFonts w:cs="Arial"/>
              </w:rPr>
            </w:pPr>
          </w:p>
        </w:tc>
        <w:tc>
          <w:tcPr>
            <w:tcW w:w="3942" w:type="dxa"/>
          </w:tcPr>
          <w:p w:rsidR="008E7A5D" w:rsidRPr="008E7A5D" w:rsidRDefault="008E7A5D" w:rsidP="008E7A5D">
            <w:pPr>
              <w:rPr>
                <w:rFonts w:cs="Arial"/>
              </w:rPr>
            </w:pPr>
          </w:p>
        </w:tc>
      </w:tr>
      <w:tr w:rsidR="008E7A5D" w:rsidRPr="008E7A5D" w:rsidTr="00665E1E">
        <w:trPr>
          <w:gridAfter w:val="1"/>
          <w:wAfter w:w="18" w:type="dxa"/>
          <w:trHeight w:hRule="exact" w:val="288"/>
        </w:trPr>
        <w:tc>
          <w:tcPr>
            <w:tcW w:w="4896" w:type="dxa"/>
            <w:gridSpan w:val="3"/>
            <w:tcBorders>
              <w:bottom w:val="single" w:sz="12" w:space="0" w:color="17365D" w:themeColor="text2" w:themeShade="BF"/>
              <w:right w:val="single" w:sz="12" w:space="0" w:color="17365D" w:themeColor="text2" w:themeShade="BF"/>
            </w:tcBorders>
            <w:vAlign w:val="center"/>
          </w:tcPr>
          <w:p w:rsidR="008E7A5D" w:rsidRPr="00BD34E2" w:rsidRDefault="008E7A5D" w:rsidP="008E7A5D">
            <w:pPr>
              <w:jc w:val="center"/>
              <w:rPr>
                <w:rStyle w:val="BookTitle"/>
              </w:rPr>
            </w:pPr>
            <w:r w:rsidRPr="00BD34E2">
              <w:rPr>
                <w:rStyle w:val="BookTitle"/>
              </w:rPr>
              <w:t>Standards</w:t>
            </w:r>
          </w:p>
        </w:tc>
        <w:tc>
          <w:tcPr>
            <w:tcW w:w="4662" w:type="dxa"/>
            <w:gridSpan w:val="4"/>
            <w:tcBorders>
              <w:left w:val="single" w:sz="12" w:space="0" w:color="17365D" w:themeColor="text2" w:themeShade="BF"/>
              <w:bottom w:val="single" w:sz="12" w:space="0" w:color="17365D" w:themeColor="text2" w:themeShade="BF"/>
            </w:tcBorders>
            <w:vAlign w:val="center"/>
          </w:tcPr>
          <w:p w:rsidR="008E7A5D" w:rsidRPr="00BD34E2" w:rsidRDefault="008E7A5D" w:rsidP="008E7A5D">
            <w:pPr>
              <w:jc w:val="center"/>
              <w:rPr>
                <w:rStyle w:val="BookTitle"/>
              </w:rPr>
            </w:pPr>
            <w:r w:rsidRPr="00BD34E2">
              <w:rPr>
                <w:rStyle w:val="BookTitle"/>
              </w:rPr>
              <w:t>Measures</w:t>
            </w:r>
          </w:p>
        </w:tc>
      </w:tr>
      <w:tr w:rsidR="008E7A5D" w:rsidRPr="008E7A5D" w:rsidTr="004601D3">
        <w:trPr>
          <w:gridAfter w:val="1"/>
          <w:wAfter w:w="18" w:type="dxa"/>
          <w:trHeight w:val="3831"/>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rPr>
            </w:pPr>
            <w:r w:rsidRPr="00BD34E2">
              <w:rPr>
                <w:rFonts w:cs="Arial"/>
              </w:rPr>
              <w:t>2.1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BD34E2" w:rsidRDefault="008E7A5D" w:rsidP="008E7A5D">
            <w:pPr>
              <w:rPr>
                <w:rFonts w:cs="Arial"/>
              </w:rPr>
            </w:pPr>
            <w:r w:rsidRPr="00BD34E2">
              <w:rPr>
                <w:rFonts w:cs="Arial"/>
              </w:rPr>
              <w:t>Eligibility assessment shall ensure all required documents are in the Provide Enterprise record. Consumers shall be informed of their right to:</w:t>
            </w:r>
          </w:p>
          <w:p w:rsidR="008E7A5D" w:rsidRPr="00BD34E2" w:rsidRDefault="008E7A5D" w:rsidP="001B1B43">
            <w:pPr>
              <w:pStyle w:val="ListParagraph"/>
              <w:numPr>
                <w:ilvl w:val="0"/>
                <w:numId w:val="103"/>
              </w:numPr>
              <w:rPr>
                <w:rFonts w:cs="Arial"/>
              </w:rPr>
            </w:pPr>
            <w:r w:rsidRPr="00BD34E2">
              <w:rPr>
                <w:rFonts w:cs="Arial"/>
              </w:rPr>
              <w:t>Confidentiality in accordance with state and federal laws;</w:t>
            </w:r>
          </w:p>
          <w:p w:rsidR="008E7A5D" w:rsidRPr="00BD34E2" w:rsidRDefault="008E7A5D" w:rsidP="001B1B43">
            <w:pPr>
              <w:pStyle w:val="ListParagraph"/>
              <w:numPr>
                <w:ilvl w:val="0"/>
                <w:numId w:val="103"/>
              </w:numPr>
              <w:rPr>
                <w:rFonts w:cs="Arial"/>
              </w:rPr>
            </w:pPr>
            <w:r w:rsidRPr="00BD34E2">
              <w:rPr>
                <w:rFonts w:cs="Arial"/>
              </w:rPr>
              <w:t>Choice of providers;</w:t>
            </w:r>
          </w:p>
          <w:p w:rsidR="008E7A5D" w:rsidRPr="00BD34E2" w:rsidRDefault="008E7A5D" w:rsidP="001B1B43">
            <w:pPr>
              <w:pStyle w:val="ListParagraph"/>
              <w:numPr>
                <w:ilvl w:val="0"/>
                <w:numId w:val="103"/>
              </w:numPr>
              <w:rPr>
                <w:rFonts w:cs="Arial"/>
              </w:rPr>
            </w:pPr>
            <w:r w:rsidRPr="00BD34E2">
              <w:rPr>
                <w:rFonts w:cs="Arial"/>
              </w:rPr>
              <w:t>Explanation of grievance procedures; and</w:t>
            </w:r>
          </w:p>
          <w:p w:rsidR="008E7A5D" w:rsidRPr="00BD34E2" w:rsidRDefault="008E7A5D" w:rsidP="001B1B43">
            <w:pPr>
              <w:pStyle w:val="ListParagraph"/>
              <w:numPr>
                <w:ilvl w:val="0"/>
                <w:numId w:val="103"/>
              </w:numPr>
              <w:rPr>
                <w:rFonts w:cs="Arial"/>
              </w:rPr>
            </w:pPr>
            <w:r w:rsidRPr="00BD34E2">
              <w:rPr>
                <w:rFonts w:cs="Arial"/>
              </w:rPr>
              <w:t>Consumer Rights and responsibilities.</w:t>
            </w:r>
          </w:p>
          <w:p w:rsidR="008E7A5D" w:rsidRDefault="008E7A5D" w:rsidP="001B1B43">
            <w:pPr>
              <w:pStyle w:val="ListParagraph"/>
              <w:numPr>
                <w:ilvl w:val="0"/>
                <w:numId w:val="103"/>
              </w:numPr>
              <w:rPr>
                <w:rFonts w:cs="Arial"/>
              </w:rPr>
            </w:pPr>
            <w:r w:rsidRPr="00BD34E2">
              <w:rPr>
                <w:rFonts w:cs="Arial"/>
              </w:rPr>
              <w:t>Information check list</w:t>
            </w:r>
          </w:p>
          <w:p w:rsidR="00665E1E" w:rsidRPr="00665E1E" w:rsidRDefault="00665E1E" w:rsidP="00665E1E">
            <w:pPr>
              <w:pStyle w:val="ListParagraph"/>
              <w:rPr>
                <w:rFonts w:cs="Arial"/>
                <w:sz w:val="2"/>
              </w:rPr>
            </w:pPr>
          </w:p>
        </w:tc>
        <w:tc>
          <w:tcPr>
            <w:tcW w:w="702" w:type="dxa"/>
            <w:gridSpan w:val="2"/>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rPr>
            </w:pPr>
            <w:r w:rsidRPr="00BD34E2">
              <w:rPr>
                <w:rFonts w:cs="Arial"/>
              </w:rPr>
              <w:t>2.1</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rPr>
            </w:pPr>
            <w:r w:rsidRPr="00BD34E2">
              <w:rPr>
                <w:rFonts w:cs="Arial"/>
              </w:rPr>
              <w:t>No later than five (5) workdays from receipt of referral or date of request for service the following shall be complete:</w:t>
            </w:r>
          </w:p>
          <w:p w:rsidR="008E7A5D" w:rsidRPr="00BD34E2" w:rsidRDefault="008E7A5D" w:rsidP="001B1B43">
            <w:pPr>
              <w:pStyle w:val="ListParagraph"/>
              <w:numPr>
                <w:ilvl w:val="0"/>
                <w:numId w:val="104"/>
              </w:numPr>
              <w:rPr>
                <w:rFonts w:cs="Arial"/>
              </w:rPr>
            </w:pPr>
            <w:r w:rsidRPr="00BD34E2">
              <w:rPr>
                <w:rFonts w:cs="Arial"/>
              </w:rPr>
              <w:t xml:space="preserve">Consumer rights and responsibilities </w:t>
            </w:r>
          </w:p>
          <w:p w:rsidR="008E7A5D" w:rsidRPr="00BD34E2" w:rsidRDefault="008E7A5D" w:rsidP="001B1B43">
            <w:pPr>
              <w:pStyle w:val="ListParagraph"/>
              <w:numPr>
                <w:ilvl w:val="0"/>
                <w:numId w:val="104"/>
              </w:numPr>
              <w:rPr>
                <w:rFonts w:cs="Arial"/>
              </w:rPr>
            </w:pPr>
            <w:r w:rsidRPr="00BD34E2">
              <w:rPr>
                <w:rFonts w:cs="Arial"/>
              </w:rPr>
              <w:t>Consumer chart ;</w:t>
            </w:r>
          </w:p>
          <w:p w:rsidR="008E7A5D" w:rsidRPr="00BD34E2" w:rsidRDefault="008E7A5D" w:rsidP="001B1B43">
            <w:pPr>
              <w:pStyle w:val="ListParagraph"/>
              <w:numPr>
                <w:ilvl w:val="0"/>
                <w:numId w:val="104"/>
              </w:numPr>
              <w:rPr>
                <w:rFonts w:cs="Arial"/>
              </w:rPr>
            </w:pPr>
            <w:r w:rsidRPr="00BD34E2">
              <w:rPr>
                <w:rFonts w:cs="Arial"/>
              </w:rPr>
              <w:t>Information check list; and</w:t>
            </w:r>
          </w:p>
          <w:p w:rsidR="008E7A5D" w:rsidRPr="00BD34E2" w:rsidRDefault="008E7A5D" w:rsidP="001B1B43">
            <w:pPr>
              <w:pStyle w:val="ListParagraph"/>
              <w:numPr>
                <w:ilvl w:val="0"/>
                <w:numId w:val="104"/>
              </w:numPr>
              <w:rPr>
                <w:rFonts w:cs="Arial"/>
              </w:rPr>
            </w:pPr>
            <w:r w:rsidRPr="00BD34E2">
              <w:rPr>
                <w:rFonts w:cs="Arial"/>
              </w:rPr>
              <w:t xml:space="preserve">Authorization for Release of Confidential or Protected Health Information </w:t>
            </w:r>
          </w:p>
        </w:tc>
      </w:tr>
      <w:tr w:rsidR="008E7A5D" w:rsidRPr="008E7A5D" w:rsidTr="00665E1E">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rPr>
            </w:pPr>
            <w:r w:rsidRPr="00BD34E2">
              <w:rPr>
                <w:rFonts w:cs="Arial"/>
              </w:rPr>
              <w:t>2.2</w:t>
            </w:r>
          </w:p>
        </w:tc>
        <w:tc>
          <w:tcPr>
            <w:tcW w:w="4176" w:type="dxa"/>
            <w:gridSpan w:val="2"/>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Default="008E7A5D" w:rsidP="008E7A5D">
            <w:pPr>
              <w:rPr>
                <w:rFonts w:cs="Arial"/>
              </w:rPr>
            </w:pPr>
            <w:r w:rsidRPr="00BD34E2">
              <w:rPr>
                <w:rFonts w:cs="Arial"/>
              </w:rPr>
              <w:t>As part of the eligibility assessment, HIV status, residency and income shall be verified. Each consumer shall be recertified every six months or sooner if benefit status, residency or income has changed. Recertification may be done by self-attestation. If self-attestation indicates a change, documentation verifying the change shall be collected at the consumer visit following the report of the change.</w:t>
            </w:r>
          </w:p>
          <w:p w:rsidR="00665E1E" w:rsidRDefault="00665E1E" w:rsidP="008E7A5D">
            <w:pPr>
              <w:rPr>
                <w:rFonts w:cs="Arial"/>
              </w:rPr>
            </w:pPr>
          </w:p>
          <w:p w:rsidR="008E7A5D" w:rsidRDefault="00665E1E" w:rsidP="00665E1E">
            <w:pPr>
              <w:rPr>
                <w:rFonts w:cs="Arial"/>
                <w:color w:val="000000"/>
                <w:szCs w:val="24"/>
              </w:rPr>
            </w:pPr>
            <w:r>
              <w:rPr>
                <w:rFonts w:cs="Arial"/>
              </w:rPr>
              <w:t>At least once every 12 months period the recertification procedures shall include the coll</w:t>
            </w:r>
            <w:r w:rsidR="008E7A5D" w:rsidRPr="00BD34E2">
              <w:rPr>
                <w:rFonts w:cs="Arial"/>
                <w:color w:val="000000"/>
                <w:szCs w:val="24"/>
              </w:rPr>
              <w:t xml:space="preserve">ection of more in-depth supporting documentation, similar to that collected at the initial eligibility determination. </w:t>
            </w:r>
          </w:p>
          <w:p w:rsidR="00665E1E" w:rsidRPr="00665E1E" w:rsidRDefault="00665E1E" w:rsidP="00665E1E">
            <w:pPr>
              <w:rPr>
                <w:rFonts w:cs="Arial"/>
                <w:sz w:val="12"/>
                <w:szCs w:val="24"/>
              </w:rPr>
            </w:pPr>
          </w:p>
        </w:tc>
        <w:tc>
          <w:tcPr>
            <w:tcW w:w="702" w:type="dxa"/>
            <w:gridSpan w:val="2"/>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rPr>
            </w:pPr>
            <w:r w:rsidRPr="00BD34E2">
              <w:rPr>
                <w:rFonts w:cs="Arial"/>
              </w:rPr>
              <w:t>2.2</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rPr>
            </w:pPr>
            <w:r w:rsidRPr="00BD34E2">
              <w:rPr>
                <w:rFonts w:cs="Arial"/>
              </w:rPr>
              <w:t>Documentation of HIV status, residency and income shall be maintained in PE. Notification of self-attestation should also be documented in PE.</w:t>
            </w:r>
          </w:p>
        </w:tc>
      </w:tr>
      <w:tr w:rsidR="008E7A5D" w:rsidRPr="008E7A5D" w:rsidTr="00665E1E">
        <w:trPr>
          <w:gridAfter w:val="1"/>
          <w:wAfter w:w="18" w:type="dxa"/>
        </w:trPr>
        <w:tc>
          <w:tcPr>
            <w:tcW w:w="738"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rPr>
            </w:pPr>
            <w:r w:rsidRPr="00BD34E2">
              <w:rPr>
                <w:rFonts w:cs="Arial"/>
              </w:rPr>
              <w:t>2.3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112007" w:rsidRPr="00BD34E2" w:rsidRDefault="008E7A5D" w:rsidP="00665E1E">
            <w:pPr>
              <w:rPr>
                <w:rFonts w:cs="Arial"/>
              </w:rPr>
            </w:pPr>
            <w:r w:rsidRPr="00BD34E2">
              <w:rPr>
                <w:rFonts w:cs="Arial"/>
              </w:rPr>
              <w:t>Consumers shall be screened for other funding sources</w:t>
            </w:r>
            <w:r w:rsidRPr="00BD34E2">
              <w:t xml:space="preserve"> </w:t>
            </w:r>
            <w:r w:rsidRPr="00BD34E2">
              <w:rPr>
                <w:rFonts w:cs="Arial"/>
                <w:szCs w:val="24"/>
              </w:rPr>
              <w:t>and shall be provided assistance in enrolling in all eligible sources.</w:t>
            </w:r>
          </w:p>
        </w:tc>
        <w:tc>
          <w:tcPr>
            <w:tcW w:w="702" w:type="dxa"/>
            <w:gridSpan w:val="2"/>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BD34E2" w:rsidRDefault="008E7A5D" w:rsidP="008E7A5D">
            <w:pPr>
              <w:rPr>
                <w:rFonts w:cs="Arial"/>
              </w:rPr>
            </w:pPr>
            <w:r w:rsidRPr="00BD34E2">
              <w:rPr>
                <w:rFonts w:cs="Arial"/>
              </w:rPr>
              <w:t>2.3</w:t>
            </w:r>
          </w:p>
        </w:tc>
        <w:tc>
          <w:tcPr>
            <w:tcW w:w="3960" w:type="dxa"/>
            <w:gridSpan w:val="2"/>
            <w:tcBorders>
              <w:top w:val="single" w:sz="12" w:space="0" w:color="17365D" w:themeColor="text2" w:themeShade="BF"/>
              <w:bottom w:val="single" w:sz="12" w:space="0" w:color="17365D" w:themeColor="text2" w:themeShade="BF"/>
            </w:tcBorders>
          </w:tcPr>
          <w:p w:rsidR="008E7A5D" w:rsidRPr="00BD34E2" w:rsidRDefault="008E7A5D" w:rsidP="008E7A5D">
            <w:pPr>
              <w:rPr>
                <w:rFonts w:cs="Arial"/>
              </w:rPr>
            </w:pPr>
            <w:r w:rsidRPr="00BD34E2">
              <w:rPr>
                <w:rFonts w:cs="Arial"/>
              </w:rPr>
              <w:t>Documentation of ineligibility for other funding sources shall be maintained in PE.</w:t>
            </w:r>
          </w:p>
        </w:tc>
      </w:tr>
      <w:tr w:rsidR="008E7A5D" w:rsidRPr="008E7A5D" w:rsidTr="00665E1E">
        <w:trPr>
          <w:trHeight w:hRule="exact" w:val="360"/>
        </w:trPr>
        <w:tc>
          <w:tcPr>
            <w:tcW w:w="9576" w:type="dxa"/>
            <w:gridSpan w:val="8"/>
            <w:tcBorders>
              <w:top w:val="single" w:sz="12" w:space="0" w:color="17365D" w:themeColor="text2" w:themeShade="BF"/>
              <w:bottom w:val="single" w:sz="12" w:space="0" w:color="17365D" w:themeColor="text2" w:themeShade="BF"/>
            </w:tcBorders>
          </w:tcPr>
          <w:p w:rsidR="008E7A5D" w:rsidRPr="008E7A5D" w:rsidRDefault="008E7A5D" w:rsidP="00112007">
            <w:pPr>
              <w:pStyle w:val="Heading3"/>
              <w:spacing w:before="0"/>
              <w:outlineLvl w:val="2"/>
              <w:rPr>
                <w:rFonts w:eastAsia="Calibri"/>
                <w:bCs/>
              </w:rPr>
            </w:pPr>
            <w:bookmarkStart w:id="61" w:name="_Toc489280900"/>
            <w:r w:rsidRPr="00112007">
              <w:rPr>
                <w:rFonts w:eastAsia="Calibri"/>
                <w:bCs/>
                <w:sz w:val="28"/>
              </w:rPr>
              <w:lastRenderedPageBreak/>
              <w:t>3.0 Consumer Assessment and Care Plan</w:t>
            </w:r>
            <w:bookmarkEnd w:id="61"/>
          </w:p>
        </w:tc>
      </w:tr>
    </w:tbl>
    <w:p w:rsidR="008E7A5D" w:rsidRPr="008E7A5D" w:rsidRDefault="008E7A5D" w:rsidP="008E7A5D">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4601D3" w:rsidTr="004601D3">
        <w:tc>
          <w:tcPr>
            <w:tcW w:w="9576" w:type="dxa"/>
            <w:tcBorders>
              <w:top w:val="nil"/>
              <w:left w:val="nil"/>
              <w:bottom w:val="nil"/>
              <w:right w:val="nil"/>
            </w:tcBorders>
          </w:tcPr>
          <w:p w:rsidR="004601D3" w:rsidRDefault="004601D3" w:rsidP="004601D3">
            <w:pPr>
              <w:rPr>
                <w:rFonts w:cs="Arial"/>
              </w:rPr>
            </w:pPr>
            <w:r w:rsidRPr="008E7A5D">
              <w:rPr>
                <w:rFonts w:cs="Arial"/>
              </w:rPr>
              <w:t xml:space="preserve">Medical Case Managers shall conduct a face-to-face assessment of each consumer which shall be documented in the consumer’s record in Provide Enterprise (PE); such assessment shall include barriers (perceived and actual) to access and retention in care. A care plan shall be developed, in collaboration with the consumer, based on the results of the assessment. </w:t>
            </w:r>
          </w:p>
          <w:p w:rsidR="004601D3" w:rsidRDefault="004601D3" w:rsidP="004601D3">
            <w:pPr>
              <w:rPr>
                <w:rFonts w:cs="Arial"/>
              </w:rPr>
            </w:pPr>
          </w:p>
          <w:p w:rsidR="004601D3" w:rsidRDefault="004601D3" w:rsidP="004601D3">
            <w:pPr>
              <w:rPr>
                <w:rFonts w:cs="Arial"/>
              </w:rPr>
            </w:pPr>
            <w:r w:rsidRPr="008E7A5D">
              <w:rPr>
                <w:rFonts w:cs="Arial"/>
              </w:rPr>
              <w:t>The care plan shall outline incremental steps in reaching a goal and who is responsible for what activity. The activities shall be measurable with timeframes for the completion of each activity. Outcomes of the care plan activities shall be noted in the Medical Case Management record.</w:t>
            </w:r>
          </w:p>
        </w:tc>
      </w:tr>
    </w:tbl>
    <w:p w:rsidR="008E7A5D" w:rsidRPr="008E7A5D" w:rsidRDefault="008E7A5D" w:rsidP="008E7A5D">
      <w:pPr>
        <w:spacing w:after="0" w:line="240" w:lineRule="auto"/>
        <w:jc w:val="both"/>
        <w:rPr>
          <w:rFonts w:ascii="Arial" w:hAnsi="Arial" w:cs="Arial"/>
          <w:sz w:val="24"/>
        </w:rPr>
      </w:pPr>
      <w:r w:rsidRPr="008E7A5D">
        <w:rPr>
          <w:rFonts w:ascii="Arial" w:hAnsi="Arial" w:cs="Arial"/>
          <w:sz w:val="24"/>
        </w:rPr>
        <w:t xml:space="preserve"> </w:t>
      </w:r>
    </w:p>
    <w:tbl>
      <w:tblPr>
        <w:tblStyle w:val="TableGrid14"/>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8E7A5D" w:rsidRPr="008E7A5D" w:rsidTr="00112007">
        <w:trPr>
          <w:trHeight w:hRule="exact" w:val="342"/>
        </w:trPr>
        <w:tc>
          <w:tcPr>
            <w:tcW w:w="9558" w:type="dxa"/>
            <w:gridSpan w:val="6"/>
            <w:shd w:val="clear" w:color="auto" w:fill="17365D" w:themeFill="text2" w:themeFillShade="BF"/>
          </w:tcPr>
          <w:p w:rsidR="008E7A5D" w:rsidRPr="008E7A5D" w:rsidRDefault="008E7A5D" w:rsidP="00112007">
            <w:pPr>
              <w:pStyle w:val="Heading4"/>
              <w:spacing w:before="0"/>
              <w:outlineLvl w:val="3"/>
              <w:rPr>
                <w:rFonts w:eastAsia="Calibri"/>
              </w:rPr>
            </w:pPr>
            <w:r w:rsidRPr="00112007">
              <w:rPr>
                <w:rFonts w:eastAsia="Calibri"/>
                <w:color w:val="FFFFFF" w:themeColor="background1"/>
                <w:sz w:val="28"/>
              </w:rPr>
              <w:t>3.0 Consumer Assessment and Care Plan</w:t>
            </w:r>
          </w:p>
        </w:tc>
      </w:tr>
      <w:tr w:rsidR="008E7A5D" w:rsidRPr="008E7A5D" w:rsidTr="00FA2D9A">
        <w:trPr>
          <w:trHeight w:hRule="exact" w:val="288"/>
        </w:trPr>
        <w:tc>
          <w:tcPr>
            <w:tcW w:w="720" w:type="dxa"/>
          </w:tcPr>
          <w:p w:rsidR="008E7A5D" w:rsidRPr="008E7A5D" w:rsidRDefault="008E7A5D" w:rsidP="008E7A5D">
            <w:pPr>
              <w:rPr>
                <w:rFonts w:cs="Arial"/>
              </w:rPr>
            </w:pPr>
          </w:p>
        </w:tc>
        <w:tc>
          <w:tcPr>
            <w:tcW w:w="4176" w:type="dxa"/>
            <w:gridSpan w:val="2"/>
          </w:tcPr>
          <w:p w:rsidR="008E7A5D" w:rsidRPr="008E7A5D" w:rsidRDefault="008E7A5D" w:rsidP="008E7A5D">
            <w:pPr>
              <w:rPr>
                <w:rFonts w:cs="Arial"/>
              </w:rPr>
            </w:pPr>
          </w:p>
        </w:tc>
        <w:tc>
          <w:tcPr>
            <w:tcW w:w="720" w:type="dxa"/>
            <w:gridSpan w:val="2"/>
          </w:tcPr>
          <w:p w:rsidR="008E7A5D" w:rsidRPr="008E7A5D" w:rsidRDefault="008E7A5D" w:rsidP="008E7A5D">
            <w:pPr>
              <w:rPr>
                <w:rFonts w:cs="Arial"/>
              </w:rPr>
            </w:pPr>
          </w:p>
        </w:tc>
        <w:tc>
          <w:tcPr>
            <w:tcW w:w="3942" w:type="dxa"/>
          </w:tcPr>
          <w:p w:rsidR="008E7A5D" w:rsidRPr="008E7A5D" w:rsidRDefault="008E7A5D" w:rsidP="008E7A5D">
            <w:pPr>
              <w:rPr>
                <w:rFonts w:cs="Arial"/>
              </w:rPr>
            </w:pPr>
          </w:p>
        </w:tc>
      </w:tr>
      <w:tr w:rsidR="008E7A5D" w:rsidRPr="008E7A5D" w:rsidTr="00FA2D9A">
        <w:trPr>
          <w:trHeight w:hRule="exact" w:val="288"/>
        </w:trPr>
        <w:tc>
          <w:tcPr>
            <w:tcW w:w="4896" w:type="dxa"/>
            <w:gridSpan w:val="3"/>
            <w:tcBorders>
              <w:bottom w:val="single" w:sz="12" w:space="0" w:color="17365D" w:themeColor="text2" w:themeShade="BF"/>
              <w:right w:val="single" w:sz="12" w:space="0" w:color="17365D" w:themeColor="text2" w:themeShade="BF"/>
            </w:tcBorders>
            <w:vAlign w:val="center"/>
          </w:tcPr>
          <w:p w:rsidR="008E7A5D" w:rsidRPr="00665E1E" w:rsidRDefault="008E7A5D" w:rsidP="008E7A5D">
            <w:pPr>
              <w:jc w:val="center"/>
              <w:rPr>
                <w:rStyle w:val="BookTitle"/>
              </w:rPr>
            </w:pPr>
            <w:r w:rsidRPr="00665E1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8E7A5D" w:rsidRPr="00665E1E" w:rsidRDefault="008E7A5D" w:rsidP="008E7A5D">
            <w:pPr>
              <w:jc w:val="center"/>
              <w:rPr>
                <w:rStyle w:val="BookTitle"/>
              </w:rPr>
            </w:pPr>
            <w:r w:rsidRPr="00665E1E">
              <w:rPr>
                <w:rStyle w:val="BookTitle"/>
              </w:rPr>
              <w:t>Measures</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szCs w:val="24"/>
              </w:rPr>
            </w:pPr>
            <w:r w:rsidRPr="00665E1E">
              <w:rPr>
                <w:rFonts w:cs="Arial"/>
                <w:szCs w:val="24"/>
              </w:rPr>
              <w:t>An initial comprehensive assessment shall be completed for all consumers to include:</w:t>
            </w:r>
          </w:p>
          <w:p w:rsidR="008E7A5D" w:rsidRPr="00665E1E" w:rsidRDefault="00FA2D9A" w:rsidP="001B1B43">
            <w:pPr>
              <w:pStyle w:val="ListParagraph"/>
              <w:numPr>
                <w:ilvl w:val="0"/>
                <w:numId w:val="69"/>
              </w:numPr>
              <w:rPr>
                <w:rFonts w:cs="Arial"/>
                <w:szCs w:val="24"/>
              </w:rPr>
            </w:pPr>
            <w:r w:rsidRPr="00665E1E">
              <w:rPr>
                <w:rFonts w:cs="Arial"/>
                <w:szCs w:val="24"/>
              </w:rPr>
              <w:t>Medical;</w:t>
            </w:r>
          </w:p>
          <w:p w:rsidR="008E7A5D" w:rsidRPr="00665E1E" w:rsidRDefault="00FA2D9A" w:rsidP="001B1B43">
            <w:pPr>
              <w:pStyle w:val="ListParagraph"/>
              <w:numPr>
                <w:ilvl w:val="0"/>
                <w:numId w:val="69"/>
              </w:numPr>
              <w:rPr>
                <w:rFonts w:cs="Arial"/>
                <w:szCs w:val="24"/>
              </w:rPr>
            </w:pPr>
            <w:r w:rsidRPr="00665E1E">
              <w:rPr>
                <w:rFonts w:cs="Arial"/>
                <w:szCs w:val="24"/>
              </w:rPr>
              <w:t>Behavioral health</w:t>
            </w:r>
          </w:p>
          <w:p w:rsidR="008E7A5D" w:rsidRPr="00665E1E" w:rsidRDefault="00FA2D9A" w:rsidP="001B1B43">
            <w:pPr>
              <w:pStyle w:val="ListParagraph"/>
              <w:numPr>
                <w:ilvl w:val="0"/>
                <w:numId w:val="69"/>
              </w:numPr>
              <w:rPr>
                <w:rFonts w:cs="Arial"/>
                <w:szCs w:val="24"/>
              </w:rPr>
            </w:pPr>
            <w:r w:rsidRPr="00665E1E">
              <w:rPr>
                <w:rFonts w:cs="Arial"/>
                <w:szCs w:val="24"/>
              </w:rPr>
              <w:t>Social;</w:t>
            </w:r>
          </w:p>
          <w:p w:rsidR="008E7A5D" w:rsidRPr="00665E1E" w:rsidRDefault="00FA2D9A" w:rsidP="001B1B43">
            <w:pPr>
              <w:pStyle w:val="ListParagraph"/>
              <w:numPr>
                <w:ilvl w:val="0"/>
                <w:numId w:val="69"/>
              </w:numPr>
              <w:rPr>
                <w:rFonts w:cs="Arial"/>
                <w:szCs w:val="24"/>
              </w:rPr>
            </w:pPr>
            <w:r w:rsidRPr="00665E1E">
              <w:rPr>
                <w:rFonts w:cs="Arial"/>
                <w:szCs w:val="24"/>
              </w:rPr>
              <w:t>Financial;</w:t>
            </w:r>
          </w:p>
          <w:p w:rsidR="008E7A5D" w:rsidRPr="00665E1E" w:rsidRDefault="00FA2D9A" w:rsidP="001B1B43">
            <w:pPr>
              <w:pStyle w:val="ListParagraph"/>
              <w:numPr>
                <w:ilvl w:val="0"/>
                <w:numId w:val="69"/>
              </w:numPr>
              <w:rPr>
                <w:rFonts w:cs="Arial"/>
                <w:szCs w:val="24"/>
              </w:rPr>
            </w:pPr>
            <w:r w:rsidRPr="00665E1E">
              <w:rPr>
                <w:rFonts w:cs="Arial"/>
                <w:szCs w:val="24"/>
              </w:rPr>
              <w:t>Health literacy;</w:t>
            </w:r>
          </w:p>
          <w:p w:rsidR="008E7A5D" w:rsidRPr="00665E1E" w:rsidRDefault="00FA2D9A" w:rsidP="001B1B43">
            <w:pPr>
              <w:pStyle w:val="ListParagraph"/>
              <w:numPr>
                <w:ilvl w:val="0"/>
                <w:numId w:val="69"/>
              </w:numPr>
              <w:rPr>
                <w:rFonts w:cs="Arial"/>
                <w:szCs w:val="24"/>
              </w:rPr>
            </w:pPr>
            <w:r w:rsidRPr="00665E1E">
              <w:rPr>
                <w:rFonts w:cs="Arial"/>
                <w:szCs w:val="24"/>
              </w:rPr>
              <w:t>Cultural issues;</w:t>
            </w:r>
          </w:p>
          <w:p w:rsidR="008E7A5D" w:rsidRPr="00665E1E" w:rsidRDefault="00FA2D9A" w:rsidP="001B1B43">
            <w:pPr>
              <w:pStyle w:val="ListParagraph"/>
              <w:numPr>
                <w:ilvl w:val="0"/>
                <w:numId w:val="69"/>
              </w:numPr>
              <w:rPr>
                <w:rFonts w:cs="Arial"/>
                <w:szCs w:val="24"/>
              </w:rPr>
            </w:pPr>
            <w:r w:rsidRPr="00665E1E">
              <w:rPr>
                <w:rFonts w:cs="Arial"/>
                <w:szCs w:val="24"/>
              </w:rPr>
              <w:t>Acuity level; and</w:t>
            </w:r>
          </w:p>
          <w:p w:rsidR="008E7A5D" w:rsidRPr="00665E1E" w:rsidRDefault="008E7A5D" w:rsidP="001B1B43">
            <w:pPr>
              <w:pStyle w:val="ListParagraph"/>
              <w:numPr>
                <w:ilvl w:val="0"/>
                <w:numId w:val="69"/>
              </w:numPr>
              <w:rPr>
                <w:rFonts w:cs="Arial"/>
                <w:szCs w:val="24"/>
              </w:rPr>
            </w:pPr>
            <w:r w:rsidRPr="00665E1E">
              <w:rPr>
                <w:rFonts w:cs="Arial"/>
                <w:szCs w:val="24"/>
              </w:rPr>
              <w:t>Other needs.</w:t>
            </w:r>
          </w:p>
          <w:p w:rsidR="00FA2D9A" w:rsidRPr="004601D3" w:rsidRDefault="00FA2D9A" w:rsidP="00FA2D9A">
            <w:pPr>
              <w:pStyle w:val="ListParagraph"/>
              <w:rPr>
                <w:rFonts w:cs="Arial"/>
                <w:sz w:val="12"/>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3.1</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A copy of the completed comprehensive assessment shall be maintained in PE.</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szCs w:val="24"/>
              </w:rPr>
            </w:pPr>
            <w:r w:rsidRPr="00665E1E">
              <w:rPr>
                <w:rFonts w:cs="Arial"/>
                <w:szCs w:val="24"/>
              </w:rPr>
              <w:t>An individual care plan shall be developed with the participation of the consumer within 30-days of intake. The care plan shall be based on prioritized identified needs, acuity level, and shall address consumer’s cultural needs.</w:t>
            </w:r>
          </w:p>
          <w:p w:rsidR="00FA2D9A" w:rsidRPr="004601D3" w:rsidRDefault="00FA2D9A" w:rsidP="008E7A5D">
            <w:pPr>
              <w:rPr>
                <w:rFonts w:cs="Arial"/>
                <w:sz w:val="18"/>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3.2</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Care plan shall have consumer’s and/or caregiver’s signature and shall address prioritized consumer needs identified in the assessment, acuity level and cultural needs.</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szCs w:val="24"/>
              </w:rPr>
            </w:pPr>
            <w:r w:rsidRPr="00665E1E">
              <w:rPr>
                <w:rFonts w:cs="Arial"/>
                <w:szCs w:val="24"/>
              </w:rPr>
              <w:t>Each consumer shall be assisted in developing time frames for the resolution of any barriers to care identified in the assessment and follow-up with the consumer shall be at a minimum of every ninety days to ensure service delivery.</w:t>
            </w:r>
          </w:p>
          <w:p w:rsidR="00FA2D9A" w:rsidRPr="004601D3" w:rsidRDefault="00FA2D9A" w:rsidP="008E7A5D">
            <w:pPr>
              <w:rPr>
                <w:rFonts w:cs="Arial"/>
                <w:sz w:val="10"/>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3.3</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The Plan of Care and progress notes shall include:</w:t>
            </w:r>
          </w:p>
          <w:p w:rsidR="008E7A5D" w:rsidRPr="00665E1E" w:rsidRDefault="008E7A5D" w:rsidP="003D44F2">
            <w:pPr>
              <w:numPr>
                <w:ilvl w:val="0"/>
                <w:numId w:val="13"/>
              </w:numPr>
              <w:contextualSpacing/>
              <w:rPr>
                <w:rFonts w:cs="Arial"/>
                <w:szCs w:val="24"/>
              </w:rPr>
            </w:pPr>
            <w:r w:rsidRPr="00665E1E">
              <w:rPr>
                <w:rFonts w:cs="Arial"/>
                <w:szCs w:val="24"/>
              </w:rPr>
              <w:t>the intervention to resolve the barriers to care;</w:t>
            </w:r>
          </w:p>
          <w:p w:rsidR="008E7A5D" w:rsidRPr="00665E1E" w:rsidRDefault="008E7A5D" w:rsidP="003D44F2">
            <w:pPr>
              <w:numPr>
                <w:ilvl w:val="0"/>
                <w:numId w:val="13"/>
              </w:numPr>
              <w:contextualSpacing/>
              <w:rPr>
                <w:rFonts w:cs="Arial"/>
                <w:szCs w:val="24"/>
              </w:rPr>
            </w:pPr>
            <w:r w:rsidRPr="00665E1E">
              <w:rPr>
                <w:rFonts w:cs="Arial"/>
                <w:szCs w:val="24"/>
              </w:rPr>
              <w:t>Achievement dates; and progress notes documenting assistance provided.</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4601D3" w:rsidRPr="00665E1E" w:rsidRDefault="008E7A5D" w:rsidP="004601D3">
            <w:pPr>
              <w:rPr>
                <w:rFonts w:cs="Arial"/>
                <w:szCs w:val="24"/>
              </w:rPr>
            </w:pPr>
            <w:r w:rsidRPr="00665E1E">
              <w:rPr>
                <w:rFonts w:cs="Arial"/>
                <w:szCs w:val="24"/>
              </w:rPr>
              <w:t>Each consumer shall be assisted with establishing expected outcomes within the Plan of Care.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3.4</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Progress notes shall document the assistance provided.</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lastRenderedPageBreak/>
              <w:t>3.5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szCs w:val="24"/>
              </w:rPr>
            </w:pPr>
            <w:r w:rsidRPr="00665E1E">
              <w:rPr>
                <w:rFonts w:cs="Arial"/>
                <w:szCs w:val="24"/>
              </w:rPr>
              <w:t>All completed consumer referral forms shall be maintained in PE</w:t>
            </w:r>
            <w:r w:rsidR="00FA2D9A" w:rsidRPr="00665E1E">
              <w:rPr>
                <w:rFonts w:cs="Arial"/>
                <w:szCs w:val="24"/>
              </w:rPr>
              <w:t>.</w:t>
            </w:r>
          </w:p>
          <w:p w:rsidR="00FA2D9A" w:rsidRPr="00665E1E" w:rsidRDefault="00FA2D9A" w:rsidP="008E7A5D">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3.5</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All completed consumer referral forms shall be maintained in PE.</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autoSpaceDE w:val="0"/>
              <w:autoSpaceDN w:val="0"/>
              <w:adjustRightInd w:val="0"/>
              <w:rPr>
                <w:rFonts w:cs="Arial"/>
                <w:szCs w:val="24"/>
              </w:rPr>
            </w:pPr>
            <w:r w:rsidRPr="00665E1E">
              <w:rPr>
                <w:rFonts w:cs="Arial"/>
                <w:szCs w:val="24"/>
              </w:rPr>
              <w:t xml:space="preserve">Medical case managers shall conduct periodic re-evaluation and adaptation of the plan at least every 3 months, throughout the </w:t>
            </w:r>
            <w:r w:rsidR="00FA2D9A" w:rsidRPr="00665E1E">
              <w:rPr>
                <w:rFonts w:cs="Arial"/>
                <w:szCs w:val="24"/>
              </w:rPr>
              <w:t>consumer’s</w:t>
            </w:r>
            <w:r w:rsidRPr="00665E1E">
              <w:rPr>
                <w:rFonts w:cs="Arial"/>
                <w:szCs w:val="24"/>
              </w:rPr>
              <w:t xml:space="preserve"> enrollment with MCM services</w:t>
            </w:r>
            <w:r w:rsidR="00FA2D9A" w:rsidRPr="00665E1E">
              <w:rPr>
                <w:rFonts w:cs="Arial"/>
                <w:szCs w:val="24"/>
              </w:rPr>
              <w:t>.</w:t>
            </w:r>
          </w:p>
          <w:p w:rsidR="00FA2D9A" w:rsidRPr="00665E1E" w:rsidRDefault="00FA2D9A" w:rsidP="008E7A5D">
            <w:pPr>
              <w:autoSpaceDE w:val="0"/>
              <w:autoSpaceDN w:val="0"/>
              <w:adjustRightInd w:val="0"/>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3.6</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Documentation in consumer record reflects periodic re-evaluation at least every three (3) months.</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autoSpaceDE w:val="0"/>
              <w:autoSpaceDN w:val="0"/>
              <w:adjustRightInd w:val="0"/>
              <w:rPr>
                <w:rFonts w:cs="Arial"/>
                <w:szCs w:val="24"/>
              </w:rPr>
            </w:pPr>
            <w:r w:rsidRPr="00665E1E">
              <w:rPr>
                <w:rFonts w:cs="Arial"/>
                <w:szCs w:val="24"/>
              </w:rPr>
              <w:t>The care plan should be signed by the medical case manager and by the consumer. The consumer’s signature confirms that the consumer understands and agrees to the care plan. If the consumer does not sign the care plan, the MCM should document and date the reason in the consumer’s progress note and/or care plan.</w:t>
            </w:r>
          </w:p>
          <w:p w:rsidR="00FA2D9A" w:rsidRPr="00665E1E" w:rsidRDefault="00FA2D9A" w:rsidP="008E7A5D">
            <w:pPr>
              <w:autoSpaceDE w:val="0"/>
              <w:autoSpaceDN w:val="0"/>
              <w:adjustRightInd w:val="0"/>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3.7</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Care Plan reflects both the MCM and the consumer’s signature.</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autoSpaceDE w:val="0"/>
              <w:autoSpaceDN w:val="0"/>
              <w:adjustRightInd w:val="0"/>
              <w:rPr>
                <w:rFonts w:cs="Arial"/>
                <w:szCs w:val="24"/>
              </w:rPr>
            </w:pPr>
            <w:r w:rsidRPr="00665E1E">
              <w:rPr>
                <w:rFonts w:cs="Arial"/>
                <w:szCs w:val="24"/>
              </w:rPr>
              <w:t>Medical Case Managers shall ensure that consumers are enrolled in primary medical care.</w:t>
            </w:r>
          </w:p>
          <w:p w:rsidR="00FA2D9A" w:rsidRPr="00665E1E" w:rsidRDefault="00FA2D9A" w:rsidP="008E7A5D">
            <w:pPr>
              <w:autoSpaceDE w:val="0"/>
              <w:autoSpaceDN w:val="0"/>
              <w:adjustRightInd w:val="0"/>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3.8</w:t>
            </w:r>
          </w:p>
        </w:tc>
        <w:tc>
          <w:tcPr>
            <w:tcW w:w="3960" w:type="dxa"/>
            <w:gridSpan w:val="2"/>
            <w:tcBorders>
              <w:top w:val="single" w:sz="12" w:space="0" w:color="17365D" w:themeColor="text2" w:themeShade="BF"/>
              <w:bottom w:val="single" w:sz="12" w:space="0" w:color="17365D" w:themeColor="text2" w:themeShade="BF"/>
            </w:tcBorders>
          </w:tcPr>
          <w:p w:rsidR="008E7A5D" w:rsidRPr="00665E1E" w:rsidDel="000F7661" w:rsidRDefault="008E7A5D" w:rsidP="008E7A5D">
            <w:pPr>
              <w:rPr>
                <w:rFonts w:cs="Arial"/>
                <w:szCs w:val="24"/>
              </w:rPr>
            </w:pPr>
            <w:r w:rsidRPr="00665E1E">
              <w:rPr>
                <w:rFonts w:cs="Arial"/>
                <w:szCs w:val="24"/>
              </w:rPr>
              <w:t>Appointment date and time and laboratory (viral load, CD-4) shall be documented in PE record.</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3.9</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A2D9A" w:rsidRPr="00665E1E" w:rsidRDefault="008E7A5D" w:rsidP="008E7A5D">
            <w:pPr>
              <w:autoSpaceDE w:val="0"/>
              <w:autoSpaceDN w:val="0"/>
              <w:adjustRightInd w:val="0"/>
              <w:rPr>
                <w:rFonts w:cs="Arial"/>
                <w:szCs w:val="24"/>
              </w:rPr>
            </w:pPr>
            <w:r w:rsidRPr="00665E1E">
              <w:rPr>
                <w:rFonts w:cs="Arial"/>
                <w:szCs w:val="24"/>
              </w:rPr>
              <w:t>Medical Case Managers shall determine the need for medical transportation and facilitate the appropriate conveyance.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3.9</w:t>
            </w:r>
          </w:p>
        </w:tc>
        <w:tc>
          <w:tcPr>
            <w:tcW w:w="3960" w:type="dxa"/>
            <w:gridSpan w:val="2"/>
            <w:tcBorders>
              <w:top w:val="single" w:sz="12" w:space="0" w:color="17365D" w:themeColor="text2" w:themeShade="BF"/>
              <w:bottom w:val="single" w:sz="12" w:space="0" w:color="17365D" w:themeColor="text2" w:themeShade="BF"/>
            </w:tcBorders>
          </w:tcPr>
          <w:p w:rsidR="008E7A5D" w:rsidRPr="00665E1E" w:rsidDel="000F7661" w:rsidRDefault="008E7A5D" w:rsidP="008E7A5D">
            <w:pPr>
              <w:rPr>
                <w:rFonts w:cs="Arial"/>
                <w:szCs w:val="24"/>
              </w:rPr>
            </w:pPr>
            <w:r w:rsidRPr="00665E1E">
              <w:rPr>
                <w:rFonts w:cs="Arial"/>
                <w:szCs w:val="24"/>
              </w:rPr>
              <w:t>All bus passes and door-to-door vouchers shall be recorded in Provide Enterprise.</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3.10</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autoSpaceDE w:val="0"/>
              <w:autoSpaceDN w:val="0"/>
              <w:adjustRightInd w:val="0"/>
              <w:rPr>
                <w:rFonts w:cs="Arial"/>
                <w:szCs w:val="24"/>
              </w:rPr>
            </w:pPr>
            <w:r w:rsidRPr="00665E1E">
              <w:rPr>
                <w:rFonts w:cs="Arial"/>
                <w:szCs w:val="24"/>
              </w:rPr>
              <w:t>Medical Case Managers shall facilitate oral health referrals for consumers.</w:t>
            </w:r>
          </w:p>
          <w:p w:rsidR="00FA2D9A" w:rsidRPr="00665E1E" w:rsidRDefault="00FA2D9A" w:rsidP="008E7A5D">
            <w:pPr>
              <w:autoSpaceDE w:val="0"/>
              <w:autoSpaceDN w:val="0"/>
              <w:adjustRightInd w:val="0"/>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3.10</w:t>
            </w:r>
          </w:p>
        </w:tc>
        <w:tc>
          <w:tcPr>
            <w:tcW w:w="3960" w:type="dxa"/>
            <w:gridSpan w:val="2"/>
            <w:tcBorders>
              <w:top w:val="single" w:sz="12" w:space="0" w:color="17365D" w:themeColor="text2" w:themeShade="BF"/>
              <w:bottom w:val="single" w:sz="12" w:space="0" w:color="17365D" w:themeColor="text2" w:themeShade="BF"/>
            </w:tcBorders>
          </w:tcPr>
          <w:p w:rsidR="008E7A5D" w:rsidRPr="00665E1E" w:rsidDel="000F7661" w:rsidRDefault="008E7A5D" w:rsidP="008E7A5D">
            <w:pPr>
              <w:rPr>
                <w:rFonts w:cs="Arial"/>
                <w:szCs w:val="24"/>
              </w:rPr>
            </w:pPr>
            <w:r w:rsidRPr="00665E1E">
              <w:rPr>
                <w:rFonts w:cs="Arial"/>
                <w:szCs w:val="24"/>
              </w:rPr>
              <w:t>Oral Health purchase order and treatment plan shall be documented in PE record</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4601D3" w:rsidP="008E7A5D">
            <w:pPr>
              <w:rPr>
                <w:rFonts w:cs="Arial"/>
                <w:szCs w:val="24"/>
              </w:rPr>
            </w:pPr>
            <w:r w:rsidRPr="00665E1E">
              <w:rPr>
                <w:rFonts w:cs="Arial"/>
                <w:szCs w:val="24"/>
              </w:rPr>
              <w:t>3.11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autoSpaceDE w:val="0"/>
              <w:autoSpaceDN w:val="0"/>
              <w:adjustRightInd w:val="0"/>
              <w:rPr>
                <w:rFonts w:cs="Arial"/>
                <w:szCs w:val="24"/>
              </w:rPr>
            </w:pPr>
            <w:r w:rsidRPr="00665E1E">
              <w:rPr>
                <w:rFonts w:cs="Arial"/>
                <w:szCs w:val="24"/>
              </w:rPr>
              <w:t xml:space="preserve">Medical Case Managers shall facilitate distribution of nutritional supplements in accordance with a nutritional plan approved by a licensed dietitian. </w:t>
            </w:r>
          </w:p>
          <w:p w:rsidR="00FA2D9A" w:rsidRPr="00665E1E" w:rsidRDefault="00FA2D9A" w:rsidP="008E7A5D">
            <w:pPr>
              <w:autoSpaceDE w:val="0"/>
              <w:autoSpaceDN w:val="0"/>
              <w:adjustRightInd w:val="0"/>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3.11</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FA2D9A">
            <w:pPr>
              <w:contextualSpacing/>
              <w:rPr>
                <w:rFonts w:cs="Arial"/>
                <w:szCs w:val="24"/>
              </w:rPr>
            </w:pPr>
            <w:r w:rsidRPr="00665E1E">
              <w:rPr>
                <w:rFonts w:cs="Arial"/>
                <w:szCs w:val="24"/>
              </w:rPr>
              <w:t xml:space="preserve">Nutritional plan and services recorded in PE. </w:t>
            </w:r>
          </w:p>
        </w:tc>
      </w:tr>
    </w:tbl>
    <w:p w:rsidR="008E7A5D" w:rsidRDefault="008E7A5D" w:rsidP="008E7A5D">
      <w:pPr>
        <w:spacing w:after="0" w:line="240" w:lineRule="auto"/>
        <w:jc w:val="both"/>
        <w:rPr>
          <w:rFonts w:ascii="Arial" w:hAnsi="Arial" w:cs="Arial"/>
          <w:sz w:val="24"/>
        </w:rPr>
      </w:pPr>
    </w:p>
    <w:p w:rsidR="00665E1E" w:rsidRDefault="00665E1E" w:rsidP="008E7A5D">
      <w:pPr>
        <w:spacing w:after="0" w:line="240" w:lineRule="auto"/>
        <w:jc w:val="both"/>
        <w:rPr>
          <w:rFonts w:ascii="Arial" w:hAnsi="Arial" w:cs="Arial"/>
          <w:sz w:val="24"/>
        </w:rPr>
      </w:pPr>
    </w:p>
    <w:p w:rsidR="00665E1E" w:rsidRDefault="00665E1E" w:rsidP="008E7A5D">
      <w:pPr>
        <w:spacing w:after="0" w:line="240" w:lineRule="auto"/>
        <w:jc w:val="both"/>
        <w:rPr>
          <w:rFonts w:ascii="Arial" w:hAnsi="Arial" w:cs="Arial"/>
          <w:sz w:val="24"/>
        </w:rPr>
      </w:pPr>
    </w:p>
    <w:p w:rsidR="00665E1E" w:rsidRDefault="00665E1E" w:rsidP="008E7A5D">
      <w:pPr>
        <w:spacing w:after="0" w:line="240" w:lineRule="auto"/>
        <w:jc w:val="both"/>
        <w:rPr>
          <w:rFonts w:ascii="Arial" w:hAnsi="Arial" w:cs="Arial"/>
          <w:sz w:val="24"/>
        </w:rPr>
      </w:pPr>
    </w:p>
    <w:p w:rsidR="00665E1E" w:rsidRDefault="00665E1E" w:rsidP="008E7A5D">
      <w:pPr>
        <w:spacing w:after="0" w:line="240" w:lineRule="auto"/>
        <w:jc w:val="both"/>
        <w:rPr>
          <w:rFonts w:ascii="Arial" w:hAnsi="Arial" w:cs="Arial"/>
          <w:sz w:val="24"/>
        </w:rPr>
      </w:pPr>
    </w:p>
    <w:p w:rsidR="00665E1E" w:rsidRPr="008E7A5D" w:rsidRDefault="00665E1E" w:rsidP="008E7A5D">
      <w:pPr>
        <w:spacing w:after="0" w:line="240" w:lineRule="auto"/>
        <w:jc w:val="both"/>
        <w:rPr>
          <w:rFonts w:ascii="Arial" w:hAnsi="Arial" w:cs="Arial"/>
          <w:sz w:val="24"/>
        </w:rPr>
      </w:pPr>
    </w:p>
    <w:tbl>
      <w:tblPr>
        <w:tblStyle w:val="TableGrid14"/>
        <w:tblW w:w="0" w:type="auto"/>
        <w:tblLook w:val="04A0" w:firstRow="1" w:lastRow="0" w:firstColumn="1" w:lastColumn="0" w:noHBand="0" w:noVBand="1"/>
      </w:tblPr>
      <w:tblGrid>
        <w:gridCol w:w="9576"/>
      </w:tblGrid>
      <w:tr w:rsidR="008E7A5D" w:rsidRPr="008E7A5D" w:rsidTr="00FA2D9A">
        <w:trPr>
          <w:trHeight w:hRule="exact" w:val="360"/>
        </w:trPr>
        <w:tc>
          <w:tcPr>
            <w:tcW w:w="9576" w:type="dxa"/>
            <w:tcBorders>
              <w:top w:val="single" w:sz="12" w:space="0" w:color="17365D" w:themeColor="text2" w:themeShade="BF"/>
              <w:left w:val="nil"/>
              <w:bottom w:val="single" w:sz="12" w:space="0" w:color="17365D" w:themeColor="text2" w:themeShade="BF"/>
              <w:right w:val="nil"/>
            </w:tcBorders>
          </w:tcPr>
          <w:p w:rsidR="008E7A5D" w:rsidRPr="008E7A5D" w:rsidRDefault="008E7A5D" w:rsidP="00FA2D9A">
            <w:pPr>
              <w:pStyle w:val="Heading3"/>
              <w:spacing w:before="0"/>
              <w:outlineLvl w:val="2"/>
              <w:rPr>
                <w:rFonts w:eastAsia="Calibri"/>
                <w:bCs/>
              </w:rPr>
            </w:pPr>
            <w:bookmarkStart w:id="62" w:name="_Toc489280901"/>
            <w:r w:rsidRPr="00FA2D9A">
              <w:rPr>
                <w:rFonts w:eastAsia="Calibri"/>
                <w:bCs/>
                <w:sz w:val="28"/>
              </w:rPr>
              <w:lastRenderedPageBreak/>
              <w:t>4.0 Documentation</w:t>
            </w:r>
            <w:bookmarkEnd w:id="62"/>
          </w:p>
        </w:tc>
      </w:tr>
    </w:tbl>
    <w:p w:rsidR="008E7A5D" w:rsidRPr="008E7A5D" w:rsidRDefault="008E7A5D" w:rsidP="008E7A5D">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4601D3" w:rsidTr="004601D3">
        <w:tc>
          <w:tcPr>
            <w:tcW w:w="9576" w:type="dxa"/>
            <w:tcBorders>
              <w:top w:val="nil"/>
              <w:left w:val="nil"/>
              <w:bottom w:val="nil"/>
              <w:right w:val="nil"/>
            </w:tcBorders>
          </w:tcPr>
          <w:p w:rsidR="004601D3" w:rsidRDefault="004601D3" w:rsidP="004601D3">
            <w:pPr>
              <w:rPr>
                <w:rFonts w:cs="Arial"/>
                <w:color w:val="000000"/>
                <w:szCs w:val="24"/>
              </w:rPr>
            </w:pPr>
            <w:r w:rsidRPr="008E7A5D">
              <w:rPr>
                <w:rFonts w:cs="Arial"/>
                <w:color w:val="000000"/>
                <w:szCs w:val="24"/>
              </w:rPr>
              <w:t>All Medical Case Management providers are required to maintain accurate documentation in order to submit data on medical case management activities in the Ryan White Part A Reporting System (Provide Enterprise). The submission requirements are detailed within t</w:t>
            </w:r>
            <w:r>
              <w:rPr>
                <w:rFonts w:cs="Arial"/>
                <w:color w:val="000000"/>
                <w:szCs w:val="24"/>
              </w:rPr>
              <w:t>he contract funding application.</w:t>
            </w:r>
          </w:p>
        </w:tc>
      </w:tr>
    </w:tbl>
    <w:p w:rsidR="00561F8E" w:rsidRDefault="00561F8E" w:rsidP="008E7A5D">
      <w:pPr>
        <w:spacing w:after="0" w:line="240" w:lineRule="auto"/>
        <w:jc w:val="both"/>
        <w:rPr>
          <w:rFonts w:ascii="Arial" w:hAnsi="Arial" w:cs="Arial"/>
          <w:color w:val="000000"/>
          <w:sz w:val="24"/>
          <w:szCs w:val="24"/>
        </w:rPr>
      </w:pPr>
    </w:p>
    <w:tbl>
      <w:tblPr>
        <w:tblStyle w:val="TableGrid14"/>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8E7A5D" w:rsidRPr="008E7A5D" w:rsidTr="00AC2A9D">
        <w:trPr>
          <w:trHeight w:hRule="exact" w:val="387"/>
        </w:trPr>
        <w:tc>
          <w:tcPr>
            <w:tcW w:w="9558" w:type="dxa"/>
            <w:gridSpan w:val="6"/>
            <w:shd w:val="clear" w:color="auto" w:fill="17365D" w:themeFill="text2" w:themeFillShade="BF"/>
          </w:tcPr>
          <w:p w:rsidR="008E7A5D" w:rsidRPr="008E7A5D" w:rsidRDefault="008E7A5D" w:rsidP="00FA2D9A">
            <w:pPr>
              <w:pStyle w:val="Heading4"/>
              <w:spacing w:before="0"/>
              <w:outlineLvl w:val="3"/>
              <w:rPr>
                <w:rFonts w:eastAsia="Calibri"/>
              </w:rPr>
            </w:pPr>
            <w:r w:rsidRPr="00AC2A9D">
              <w:rPr>
                <w:rFonts w:eastAsia="Calibri"/>
                <w:color w:val="FFFFFF" w:themeColor="background1"/>
                <w:sz w:val="28"/>
              </w:rPr>
              <w:t>4.0 Documentation</w:t>
            </w:r>
          </w:p>
        </w:tc>
      </w:tr>
      <w:tr w:rsidR="008E7A5D" w:rsidRPr="008E7A5D" w:rsidTr="00FA2D9A">
        <w:trPr>
          <w:trHeight w:hRule="exact" w:val="288"/>
        </w:trPr>
        <w:tc>
          <w:tcPr>
            <w:tcW w:w="720" w:type="dxa"/>
          </w:tcPr>
          <w:p w:rsidR="008E7A5D" w:rsidRPr="008E7A5D" w:rsidRDefault="008E7A5D" w:rsidP="008E7A5D">
            <w:pPr>
              <w:rPr>
                <w:rFonts w:cs="Arial"/>
              </w:rPr>
            </w:pPr>
          </w:p>
        </w:tc>
        <w:tc>
          <w:tcPr>
            <w:tcW w:w="4176" w:type="dxa"/>
            <w:gridSpan w:val="2"/>
          </w:tcPr>
          <w:p w:rsidR="008E7A5D" w:rsidRPr="008E7A5D" w:rsidRDefault="008E7A5D" w:rsidP="008E7A5D">
            <w:pPr>
              <w:rPr>
                <w:rFonts w:cs="Arial"/>
              </w:rPr>
            </w:pPr>
          </w:p>
        </w:tc>
        <w:tc>
          <w:tcPr>
            <w:tcW w:w="720" w:type="dxa"/>
            <w:gridSpan w:val="2"/>
          </w:tcPr>
          <w:p w:rsidR="008E7A5D" w:rsidRPr="008E7A5D" w:rsidRDefault="008E7A5D" w:rsidP="008E7A5D">
            <w:pPr>
              <w:rPr>
                <w:rFonts w:cs="Arial"/>
              </w:rPr>
            </w:pPr>
          </w:p>
        </w:tc>
        <w:tc>
          <w:tcPr>
            <w:tcW w:w="3942" w:type="dxa"/>
          </w:tcPr>
          <w:p w:rsidR="008E7A5D" w:rsidRPr="008E7A5D" w:rsidRDefault="008E7A5D" w:rsidP="008E7A5D">
            <w:pPr>
              <w:rPr>
                <w:rFonts w:cs="Arial"/>
              </w:rPr>
            </w:pPr>
          </w:p>
        </w:tc>
      </w:tr>
      <w:tr w:rsidR="008E7A5D" w:rsidRPr="008E7A5D" w:rsidTr="00FA2D9A">
        <w:trPr>
          <w:trHeight w:hRule="exact" w:val="288"/>
        </w:trPr>
        <w:tc>
          <w:tcPr>
            <w:tcW w:w="4896" w:type="dxa"/>
            <w:gridSpan w:val="3"/>
            <w:tcBorders>
              <w:bottom w:val="single" w:sz="12" w:space="0" w:color="17365D" w:themeColor="text2" w:themeShade="BF"/>
              <w:right w:val="single" w:sz="12" w:space="0" w:color="17365D" w:themeColor="text2" w:themeShade="BF"/>
            </w:tcBorders>
            <w:vAlign w:val="center"/>
          </w:tcPr>
          <w:p w:rsidR="008E7A5D" w:rsidRPr="00665E1E" w:rsidRDefault="008E7A5D" w:rsidP="008E7A5D">
            <w:pPr>
              <w:jc w:val="center"/>
              <w:rPr>
                <w:rStyle w:val="BookTitle"/>
              </w:rPr>
            </w:pPr>
            <w:r w:rsidRPr="00665E1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8E7A5D" w:rsidRPr="00665E1E" w:rsidRDefault="008E7A5D" w:rsidP="008E7A5D">
            <w:pPr>
              <w:jc w:val="center"/>
              <w:rPr>
                <w:rStyle w:val="BookTitle"/>
              </w:rPr>
            </w:pPr>
            <w:r w:rsidRPr="00665E1E">
              <w:rPr>
                <w:rStyle w:val="BookTitle"/>
              </w:rPr>
              <w:t>Measures</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rPr>
            </w:pPr>
            <w:r w:rsidRPr="00665E1E">
              <w:rPr>
                <w:rFonts w:cs="Arial"/>
              </w:rPr>
              <w:t>Medical Case Managers shall be assigned within two (2) working days of a request for service or receipt of a referral.</w:t>
            </w:r>
          </w:p>
          <w:p w:rsidR="00AC2A9D" w:rsidRPr="00665E1E" w:rsidRDefault="00AC2A9D" w:rsidP="008E7A5D">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4.1</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The record shall reflect the name of the assigned Medical Case Manager and date of assignment.</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rPr>
            </w:pPr>
            <w:r w:rsidRPr="00665E1E">
              <w:rPr>
                <w:rFonts w:cs="Arial"/>
              </w:rPr>
              <w:t>An initial intake and assessment shall be initiated within five (5) working days of contact.</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4.2</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The consumer record shall contain intake and assessment forms dated within five (5) days of referral or date of service request.</w:t>
            </w:r>
          </w:p>
          <w:p w:rsidR="008E7A5D" w:rsidRPr="00665E1E" w:rsidRDefault="008E7A5D" w:rsidP="008E7A5D">
            <w:pPr>
              <w:rPr>
                <w:rFonts w:cs="Arial"/>
              </w:rPr>
            </w:pPr>
          </w:p>
          <w:p w:rsidR="008E7A5D" w:rsidRPr="00665E1E" w:rsidRDefault="008E7A5D" w:rsidP="008E7A5D">
            <w:pPr>
              <w:rPr>
                <w:rFonts w:cs="Arial"/>
              </w:rPr>
            </w:pPr>
            <w:r w:rsidRPr="00665E1E">
              <w:rPr>
                <w:rFonts w:cs="Arial"/>
              </w:rPr>
              <w:t>Intake progress notes shall reflect the date of referral or service requested and date of intake and eligibility assessment.</w:t>
            </w:r>
          </w:p>
          <w:p w:rsidR="00AC2A9D" w:rsidRPr="00665E1E" w:rsidRDefault="00AC2A9D" w:rsidP="008E7A5D">
            <w:pPr>
              <w:rPr>
                <w:rFonts w:cs="Arial"/>
              </w:rPr>
            </w:pP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szCs w:val="24"/>
              </w:rPr>
            </w:pPr>
            <w:r w:rsidRPr="00665E1E">
              <w:rPr>
                <w:rFonts w:cs="Arial"/>
              </w:rPr>
              <w:t>Each consumer shall have an acuity level assessment.</w:t>
            </w:r>
            <w:r w:rsidRPr="00665E1E">
              <w:t xml:space="preserve"> </w:t>
            </w:r>
            <w:r w:rsidRPr="00665E1E">
              <w:rPr>
                <w:rFonts w:cs="Arial"/>
                <w:szCs w:val="24"/>
              </w:rPr>
              <w:t>Individuals with an acuity assessment of 2 as measured by the Ryan White Assessment tool shall be referred to a Medical Case Manager.</w:t>
            </w:r>
          </w:p>
          <w:p w:rsidR="00AC2A9D" w:rsidRPr="00665E1E" w:rsidRDefault="00AC2A9D" w:rsidP="008E7A5D">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4.3</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Documentation of the acuity assessment and documentation of any identified difficulties that the consumer may have shall be maintained in the consumer file.</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665E1E" w:rsidRDefault="008E7A5D" w:rsidP="008E7A5D">
            <w:pPr>
              <w:rPr>
                <w:rFonts w:cs="Arial"/>
                <w:szCs w:val="24"/>
              </w:rPr>
            </w:pPr>
            <w:r w:rsidRPr="00665E1E">
              <w:rPr>
                <w:rFonts w:cs="Arial"/>
                <w:szCs w:val="24"/>
              </w:rPr>
              <w:t xml:space="preserve">To receive on-going Medical Case Management services, the consumer must have an acuity level of 2 and be an eligible recipient of Part A funded services. </w:t>
            </w:r>
          </w:p>
          <w:p w:rsidR="00665E1E" w:rsidRDefault="00665E1E" w:rsidP="008E7A5D">
            <w:pPr>
              <w:rPr>
                <w:rFonts w:cs="Arial"/>
                <w:szCs w:val="24"/>
              </w:rPr>
            </w:pPr>
          </w:p>
          <w:p w:rsidR="008E7A5D" w:rsidRPr="00665E1E" w:rsidRDefault="008E7A5D" w:rsidP="008E7A5D">
            <w:pPr>
              <w:rPr>
                <w:rFonts w:cs="Arial"/>
                <w:b/>
                <w:szCs w:val="24"/>
              </w:rPr>
            </w:pPr>
            <w:r w:rsidRPr="004601D3">
              <w:rPr>
                <w:rFonts w:cs="Arial"/>
                <w:b/>
                <w:sz w:val="22"/>
                <w:szCs w:val="24"/>
              </w:rPr>
              <w:t>Note: Use of this qualification must be preapproved by the recipient.</w:t>
            </w:r>
          </w:p>
          <w:p w:rsidR="00AC2A9D" w:rsidRPr="00665E1E" w:rsidRDefault="00AC2A9D" w:rsidP="008E7A5D">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4.4</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szCs w:val="24"/>
              </w:rPr>
            </w:pPr>
            <w:r w:rsidRPr="00665E1E">
              <w:rPr>
                <w:rFonts w:cs="Arial"/>
                <w:szCs w:val="24"/>
              </w:rPr>
              <w:t>Documentation of linkage in PE record</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 xml:space="preserve">4.5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autoSpaceDE w:val="0"/>
              <w:autoSpaceDN w:val="0"/>
              <w:adjustRightInd w:val="0"/>
              <w:rPr>
                <w:rFonts w:cs="Arial"/>
              </w:rPr>
            </w:pPr>
            <w:r w:rsidRPr="00665E1E">
              <w:rPr>
                <w:rFonts w:cs="Arial"/>
              </w:rPr>
              <w:t xml:space="preserve">Medical case managers shall conduct an intake that includes all necessary information to link and retain consumers in care both within Ryan White system of care and </w:t>
            </w:r>
            <w:r w:rsidRPr="00665E1E">
              <w:rPr>
                <w:rFonts w:cs="Arial"/>
              </w:rPr>
              <w:lastRenderedPageBreak/>
              <w:t>elsewhere. This includes an initial assessment of needs, consumer strengths, and challenges. An initial plan shall be developed with the consumer based on the level of acuity of needs. Goals set with the consumer should strive to achieve self-empowerment and self- efficacy.</w:t>
            </w:r>
          </w:p>
          <w:p w:rsidR="00AC2A9D" w:rsidRPr="00665E1E" w:rsidRDefault="00AC2A9D" w:rsidP="008E7A5D">
            <w:pPr>
              <w:autoSpaceDE w:val="0"/>
              <w:autoSpaceDN w:val="0"/>
              <w:adjustRightInd w:val="0"/>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lastRenderedPageBreak/>
              <w:t>4.5</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Documentation of all elements included in PE.</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lastRenderedPageBreak/>
              <w:t>4.5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autoSpaceDE w:val="0"/>
              <w:autoSpaceDN w:val="0"/>
              <w:adjustRightInd w:val="0"/>
              <w:rPr>
                <w:rFonts w:cs="Arial"/>
              </w:rPr>
            </w:pPr>
            <w:r w:rsidRPr="00665E1E">
              <w:rPr>
                <w:rFonts w:cs="Arial"/>
              </w:rPr>
              <w:t>Medical Case Managers shall conduct on going care planning, including re-evaluation and updating as evidenced by an ongoing assessment of consumer’s medical and psychosocial needs to the extent that the assessment supports access to and retention in care for the consumer. The medical core services assessment with full eligibility, financial and support services assessment shall be conducted every three (3) months.</w:t>
            </w:r>
          </w:p>
          <w:p w:rsidR="00AC2A9D" w:rsidRPr="00665E1E" w:rsidRDefault="00AC2A9D" w:rsidP="008E7A5D">
            <w:pPr>
              <w:autoSpaceDE w:val="0"/>
              <w:autoSpaceDN w:val="0"/>
              <w:adjustRightInd w:val="0"/>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4.5</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Documentation of all elements included in PE.</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rPr>
            </w:pPr>
            <w:r w:rsidRPr="00665E1E">
              <w:rPr>
                <w:rFonts w:cs="Arial"/>
              </w:rPr>
              <w:t>Monitor and document consumer’s progress in meeting established goals of care.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4.6</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autoSpaceDE w:val="0"/>
              <w:autoSpaceDN w:val="0"/>
              <w:adjustRightInd w:val="0"/>
              <w:rPr>
                <w:rFonts w:cs="Arial"/>
              </w:rPr>
            </w:pPr>
            <w:r w:rsidRPr="00665E1E">
              <w:rPr>
                <w:rFonts w:cs="Arial"/>
              </w:rPr>
              <w:t>A progress note must be completed on a consumer for each contact that includes adherence (medical, medication, ca</w:t>
            </w:r>
            <w:r w:rsidR="00AC2A9D" w:rsidRPr="00665E1E">
              <w:rPr>
                <w:rFonts w:cs="Arial"/>
              </w:rPr>
              <w:t>re plan), and health outcomes.</w:t>
            </w:r>
          </w:p>
          <w:p w:rsidR="00AC2A9D" w:rsidRPr="00665E1E" w:rsidRDefault="00AC2A9D" w:rsidP="008E7A5D">
            <w:pPr>
              <w:autoSpaceDE w:val="0"/>
              <w:autoSpaceDN w:val="0"/>
              <w:adjustRightInd w:val="0"/>
              <w:rPr>
                <w:rFonts w:cs="Arial"/>
              </w:rPr>
            </w:pP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rPr>
            </w:pPr>
            <w:r w:rsidRPr="00665E1E">
              <w:rPr>
                <w:rFonts w:cs="Arial"/>
              </w:rPr>
              <w:t>Agencies shall assist consumers in getting basic information about treatment options.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4.7</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Documentation of assisting consumers in obtaining information regarding treatment adherence, and prevention shall be maintained in PE.</w:t>
            </w:r>
          </w:p>
          <w:p w:rsidR="00AC2A9D" w:rsidRPr="00665E1E" w:rsidRDefault="00AC2A9D" w:rsidP="008E7A5D">
            <w:pPr>
              <w:rPr>
                <w:rFonts w:cs="Arial"/>
              </w:rPr>
            </w:pP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autoSpaceDE w:val="0"/>
              <w:autoSpaceDN w:val="0"/>
              <w:adjustRightInd w:val="0"/>
              <w:rPr>
                <w:rFonts w:cs="Arial"/>
              </w:rPr>
            </w:pPr>
            <w:r w:rsidRPr="00665E1E">
              <w:rPr>
                <w:rFonts w:cs="Arial"/>
              </w:rPr>
              <w:t>All progress note entries shall be electronically signed with the Medical Case Manager’s full legal name and title. The entries must also be dated with title and credentials within two (2) days after an interaction with the consumer.</w:t>
            </w:r>
          </w:p>
          <w:p w:rsidR="00AC2A9D" w:rsidRPr="00665E1E" w:rsidRDefault="00AC2A9D" w:rsidP="008E7A5D">
            <w:pPr>
              <w:autoSpaceDE w:val="0"/>
              <w:autoSpaceDN w:val="0"/>
              <w:adjustRightInd w:val="0"/>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4.8</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Progress notes in PE reflect all required elements.</w:t>
            </w:r>
          </w:p>
        </w:tc>
      </w:tr>
    </w:tbl>
    <w:p w:rsidR="008E7A5D" w:rsidRDefault="008E7A5D" w:rsidP="008E7A5D">
      <w:pPr>
        <w:spacing w:after="0" w:line="240" w:lineRule="auto"/>
        <w:jc w:val="both"/>
        <w:rPr>
          <w:rFonts w:ascii="Arial" w:hAnsi="Arial" w:cs="Arial"/>
          <w:sz w:val="24"/>
        </w:rPr>
      </w:pPr>
    </w:p>
    <w:p w:rsidR="00665E1E" w:rsidRDefault="00665E1E" w:rsidP="008E7A5D">
      <w:pPr>
        <w:spacing w:after="0" w:line="240" w:lineRule="auto"/>
        <w:jc w:val="both"/>
        <w:rPr>
          <w:rFonts w:ascii="Arial" w:hAnsi="Arial" w:cs="Arial"/>
          <w:sz w:val="24"/>
        </w:rPr>
      </w:pPr>
    </w:p>
    <w:tbl>
      <w:tblPr>
        <w:tblStyle w:val="TableGrid14"/>
        <w:tblW w:w="0" w:type="auto"/>
        <w:tblLook w:val="04A0" w:firstRow="1" w:lastRow="0" w:firstColumn="1" w:lastColumn="0" w:noHBand="0" w:noVBand="1"/>
      </w:tblPr>
      <w:tblGrid>
        <w:gridCol w:w="9576"/>
      </w:tblGrid>
      <w:tr w:rsidR="008E7A5D" w:rsidRPr="008E7A5D" w:rsidTr="00FA2D9A">
        <w:trPr>
          <w:trHeight w:hRule="exact" w:val="360"/>
        </w:trPr>
        <w:tc>
          <w:tcPr>
            <w:tcW w:w="9576" w:type="dxa"/>
            <w:tcBorders>
              <w:top w:val="single" w:sz="12" w:space="0" w:color="17365D" w:themeColor="text2" w:themeShade="BF"/>
              <w:left w:val="nil"/>
              <w:bottom w:val="single" w:sz="12" w:space="0" w:color="17365D" w:themeColor="text2" w:themeShade="BF"/>
              <w:right w:val="nil"/>
            </w:tcBorders>
          </w:tcPr>
          <w:p w:rsidR="008E7A5D" w:rsidRPr="008E7A5D" w:rsidRDefault="008E7A5D" w:rsidP="00AC2A9D">
            <w:pPr>
              <w:pStyle w:val="Heading3"/>
              <w:spacing w:before="0"/>
              <w:outlineLvl w:val="2"/>
            </w:pPr>
            <w:bookmarkStart w:id="63" w:name="_Toc489280902"/>
            <w:r w:rsidRPr="00AC2A9D">
              <w:rPr>
                <w:sz w:val="28"/>
              </w:rPr>
              <w:lastRenderedPageBreak/>
              <w:t>5.0 Coordination of Care</w:t>
            </w:r>
            <w:bookmarkEnd w:id="63"/>
          </w:p>
        </w:tc>
      </w:tr>
    </w:tbl>
    <w:p w:rsidR="008E7A5D" w:rsidRPr="008E7A5D" w:rsidRDefault="008E7A5D" w:rsidP="008E7A5D">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4601D3" w:rsidTr="004601D3">
        <w:tc>
          <w:tcPr>
            <w:tcW w:w="9576" w:type="dxa"/>
            <w:tcBorders>
              <w:top w:val="nil"/>
              <w:left w:val="nil"/>
              <w:bottom w:val="nil"/>
              <w:right w:val="nil"/>
            </w:tcBorders>
          </w:tcPr>
          <w:p w:rsidR="004601D3" w:rsidRDefault="004601D3" w:rsidP="004601D3">
            <w:pPr>
              <w:rPr>
                <w:rFonts w:cs="Arial"/>
              </w:rPr>
            </w:pPr>
            <w:r w:rsidRPr="008E7A5D">
              <w:rPr>
                <w:rFonts w:cs="Arial"/>
              </w:rPr>
              <w:t>Care Coordination includes communication, information sharing, and collaboration, and occurs regularly between medical case management and other staff serving the patient within the agency and among other agencies in the community. Coordination activities may include directly arranging access; reducing barriers to obtaining services; establishing linkages and confirming service acquisition.</w:t>
            </w:r>
          </w:p>
        </w:tc>
      </w:tr>
    </w:tbl>
    <w:p w:rsidR="00665E1E" w:rsidRPr="008E7A5D" w:rsidRDefault="00665E1E" w:rsidP="008E7A5D">
      <w:pPr>
        <w:spacing w:after="0" w:line="240" w:lineRule="auto"/>
        <w:jc w:val="both"/>
        <w:rPr>
          <w:rFonts w:ascii="Arial" w:hAnsi="Arial" w:cs="Arial"/>
          <w:sz w:val="24"/>
        </w:rPr>
      </w:pPr>
    </w:p>
    <w:tbl>
      <w:tblPr>
        <w:tblStyle w:val="TableGrid14"/>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8E7A5D" w:rsidRPr="008E7A5D" w:rsidTr="00FA2D9A">
        <w:trPr>
          <w:trHeight w:hRule="exact" w:val="360"/>
        </w:trPr>
        <w:tc>
          <w:tcPr>
            <w:tcW w:w="9558" w:type="dxa"/>
            <w:gridSpan w:val="6"/>
            <w:shd w:val="clear" w:color="auto" w:fill="17365D" w:themeFill="text2" w:themeFillShade="BF"/>
          </w:tcPr>
          <w:p w:rsidR="008E7A5D" w:rsidRPr="008E7A5D" w:rsidRDefault="008E7A5D" w:rsidP="00AC2A9D">
            <w:pPr>
              <w:pStyle w:val="Heading4"/>
              <w:spacing w:before="0"/>
              <w:outlineLvl w:val="3"/>
            </w:pPr>
            <w:r w:rsidRPr="00AC2A9D">
              <w:rPr>
                <w:color w:val="FFFFFF" w:themeColor="background1"/>
                <w:sz w:val="28"/>
              </w:rPr>
              <w:t>5.0 Coordination of Care</w:t>
            </w:r>
          </w:p>
        </w:tc>
      </w:tr>
      <w:tr w:rsidR="008E7A5D" w:rsidRPr="008E7A5D" w:rsidTr="00FA2D9A">
        <w:trPr>
          <w:trHeight w:hRule="exact" w:val="360"/>
        </w:trPr>
        <w:tc>
          <w:tcPr>
            <w:tcW w:w="720" w:type="dxa"/>
          </w:tcPr>
          <w:p w:rsidR="008E7A5D" w:rsidRPr="008E7A5D" w:rsidRDefault="008E7A5D" w:rsidP="008E7A5D">
            <w:pPr>
              <w:rPr>
                <w:rFonts w:cs="Arial"/>
              </w:rPr>
            </w:pPr>
          </w:p>
        </w:tc>
        <w:tc>
          <w:tcPr>
            <w:tcW w:w="4176" w:type="dxa"/>
            <w:gridSpan w:val="2"/>
          </w:tcPr>
          <w:p w:rsidR="008E7A5D" w:rsidRPr="008E7A5D" w:rsidRDefault="008E7A5D" w:rsidP="008E7A5D">
            <w:pPr>
              <w:rPr>
                <w:rFonts w:cs="Arial"/>
              </w:rPr>
            </w:pPr>
          </w:p>
        </w:tc>
        <w:tc>
          <w:tcPr>
            <w:tcW w:w="720" w:type="dxa"/>
            <w:gridSpan w:val="2"/>
          </w:tcPr>
          <w:p w:rsidR="008E7A5D" w:rsidRPr="008E7A5D" w:rsidRDefault="008E7A5D" w:rsidP="008E7A5D">
            <w:pPr>
              <w:rPr>
                <w:rFonts w:cs="Arial"/>
              </w:rPr>
            </w:pPr>
          </w:p>
        </w:tc>
        <w:tc>
          <w:tcPr>
            <w:tcW w:w="3942" w:type="dxa"/>
          </w:tcPr>
          <w:p w:rsidR="008E7A5D" w:rsidRPr="008E7A5D" w:rsidRDefault="008E7A5D" w:rsidP="008E7A5D">
            <w:pPr>
              <w:rPr>
                <w:rFonts w:cs="Arial"/>
              </w:rPr>
            </w:pPr>
          </w:p>
        </w:tc>
      </w:tr>
      <w:tr w:rsidR="008E7A5D" w:rsidRPr="008E7A5D" w:rsidTr="00FA2D9A">
        <w:trPr>
          <w:trHeight w:hRule="exact" w:val="360"/>
        </w:trPr>
        <w:tc>
          <w:tcPr>
            <w:tcW w:w="4896" w:type="dxa"/>
            <w:gridSpan w:val="3"/>
            <w:tcBorders>
              <w:bottom w:val="single" w:sz="12" w:space="0" w:color="17365D" w:themeColor="text2" w:themeShade="BF"/>
              <w:right w:val="single" w:sz="12" w:space="0" w:color="17365D" w:themeColor="text2" w:themeShade="BF"/>
            </w:tcBorders>
            <w:vAlign w:val="center"/>
          </w:tcPr>
          <w:p w:rsidR="008E7A5D" w:rsidRPr="00665E1E" w:rsidRDefault="008E7A5D" w:rsidP="008E7A5D">
            <w:pPr>
              <w:jc w:val="center"/>
              <w:rPr>
                <w:rStyle w:val="BookTitle"/>
              </w:rPr>
            </w:pPr>
            <w:r w:rsidRPr="00665E1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8E7A5D" w:rsidRPr="00665E1E" w:rsidRDefault="008E7A5D" w:rsidP="008E7A5D">
            <w:pPr>
              <w:jc w:val="center"/>
              <w:rPr>
                <w:rStyle w:val="BookTitle"/>
              </w:rPr>
            </w:pPr>
            <w:r w:rsidRPr="00665E1E">
              <w:rPr>
                <w:rStyle w:val="BookTitle"/>
              </w:rPr>
              <w:t>Measures</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5.1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Default="008E7A5D" w:rsidP="008E7A5D">
            <w:pPr>
              <w:autoSpaceDE w:val="0"/>
              <w:autoSpaceDN w:val="0"/>
              <w:adjustRightInd w:val="0"/>
              <w:rPr>
                <w:rFonts w:cs="Arial"/>
              </w:rPr>
            </w:pPr>
            <w:r w:rsidRPr="00665E1E">
              <w:rPr>
                <w:rFonts w:cs="Arial"/>
              </w:rPr>
              <w:t xml:space="preserve">Medical Case Managers shall coordinate and track linkages and outcomes of consumers referred to other core medical, support services, partner services and prevention to support identification of those unaware of their HIV status. </w:t>
            </w:r>
          </w:p>
          <w:p w:rsidR="00665E1E" w:rsidRPr="00665E1E" w:rsidRDefault="00665E1E" w:rsidP="008E7A5D">
            <w:pPr>
              <w:autoSpaceDE w:val="0"/>
              <w:autoSpaceDN w:val="0"/>
              <w:adjustRightInd w:val="0"/>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5.1</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Documentation in PE including forms and progress notes</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5.2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Default="008E7A5D" w:rsidP="008E7A5D">
            <w:pPr>
              <w:autoSpaceDE w:val="0"/>
              <w:autoSpaceDN w:val="0"/>
              <w:adjustRightInd w:val="0"/>
              <w:rPr>
                <w:rFonts w:cs="Arial"/>
              </w:rPr>
            </w:pPr>
            <w:r w:rsidRPr="00665E1E">
              <w:rPr>
                <w:rFonts w:cs="Arial"/>
              </w:rPr>
              <w:t xml:space="preserve"> Medical Case Managers shall actively participate in team meetings or case conferences for the consumers to sustain retention in care and/or to improve the consumer’s quality of life. </w:t>
            </w:r>
          </w:p>
          <w:p w:rsidR="00665E1E" w:rsidRPr="00665E1E" w:rsidRDefault="00665E1E" w:rsidP="008E7A5D">
            <w:pPr>
              <w:autoSpaceDE w:val="0"/>
              <w:autoSpaceDN w:val="0"/>
              <w:adjustRightInd w:val="0"/>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5.2</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Documentation of case conferencing or team meetings in PE.</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5.3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autoSpaceDE w:val="0"/>
              <w:autoSpaceDN w:val="0"/>
              <w:adjustRightInd w:val="0"/>
              <w:rPr>
                <w:rFonts w:cs="Arial"/>
              </w:rPr>
            </w:pPr>
            <w:r w:rsidRPr="00665E1E">
              <w:rPr>
                <w:rFonts w:cs="Arial"/>
              </w:rPr>
              <w:t xml:space="preserve"> Medical Case Managers shall provide benefit/entitlement counseling and referral activities to assist consumers to access other private and public programs (e.g. Medicaid, Medicare, or Insurance Marketplace/Exchange</w:t>
            </w:r>
          </w:p>
          <w:p w:rsidR="008E7A5D" w:rsidRDefault="008E7A5D" w:rsidP="008E7A5D">
            <w:pPr>
              <w:rPr>
                <w:rFonts w:cs="Arial"/>
              </w:rPr>
            </w:pPr>
            <w:r w:rsidRPr="00665E1E">
              <w:rPr>
                <w:rFonts w:cs="Arial"/>
              </w:rPr>
              <w:t>Etc.).</w:t>
            </w:r>
          </w:p>
          <w:p w:rsidR="00665E1E" w:rsidRPr="00665E1E" w:rsidRDefault="00665E1E" w:rsidP="008E7A5D">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5.3</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 xml:space="preserve"> Progress notes document referral activities regarding accessing other resources.</w:t>
            </w:r>
          </w:p>
        </w:tc>
      </w:tr>
      <w:tr w:rsidR="008E7A5D" w:rsidRPr="008E7A5D"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5.4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Default="008E7A5D" w:rsidP="008E7A5D">
            <w:pPr>
              <w:rPr>
                <w:rFonts w:cs="Arial"/>
              </w:rPr>
            </w:pPr>
            <w:r w:rsidRPr="00665E1E">
              <w:rPr>
                <w:rFonts w:cs="Arial"/>
              </w:rPr>
              <w:t xml:space="preserve">Medical Case Managers shall verify that consumers receive medically necessary services and that RW eligibility is current to ensure access </w:t>
            </w:r>
            <w:r w:rsidR="00665E1E">
              <w:rPr>
                <w:rFonts w:cs="Arial"/>
              </w:rPr>
              <w:t>to necessary services.</w:t>
            </w:r>
          </w:p>
          <w:p w:rsidR="00665E1E" w:rsidRPr="00665E1E" w:rsidRDefault="00665E1E" w:rsidP="008E7A5D">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5.4</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Progress notes document efforts to coordinate services with other service providers.</w:t>
            </w:r>
          </w:p>
        </w:tc>
      </w:tr>
    </w:tbl>
    <w:p w:rsidR="008E7A5D" w:rsidRDefault="008E7A5D" w:rsidP="008E7A5D">
      <w:pPr>
        <w:spacing w:after="0" w:line="240" w:lineRule="auto"/>
        <w:jc w:val="both"/>
        <w:rPr>
          <w:rFonts w:ascii="Arial" w:hAnsi="Arial" w:cs="Arial"/>
          <w:sz w:val="24"/>
        </w:rPr>
      </w:pPr>
    </w:p>
    <w:p w:rsidR="00665E1E" w:rsidRDefault="00665E1E" w:rsidP="008E7A5D">
      <w:pPr>
        <w:spacing w:after="0" w:line="240" w:lineRule="auto"/>
        <w:jc w:val="both"/>
        <w:rPr>
          <w:rFonts w:ascii="Arial" w:hAnsi="Arial" w:cs="Arial"/>
          <w:sz w:val="24"/>
        </w:rPr>
      </w:pPr>
    </w:p>
    <w:p w:rsidR="00665E1E" w:rsidRDefault="00665E1E" w:rsidP="008E7A5D">
      <w:pPr>
        <w:spacing w:after="0" w:line="240" w:lineRule="auto"/>
        <w:jc w:val="both"/>
        <w:rPr>
          <w:rFonts w:ascii="Arial" w:hAnsi="Arial" w:cs="Arial"/>
          <w:sz w:val="24"/>
        </w:rPr>
      </w:pPr>
    </w:p>
    <w:tbl>
      <w:tblPr>
        <w:tblStyle w:val="TableGrid14"/>
        <w:tblW w:w="0" w:type="auto"/>
        <w:tblLook w:val="04A0" w:firstRow="1" w:lastRow="0" w:firstColumn="1" w:lastColumn="0" w:noHBand="0" w:noVBand="1"/>
      </w:tblPr>
      <w:tblGrid>
        <w:gridCol w:w="9576"/>
      </w:tblGrid>
      <w:tr w:rsidR="008E7A5D" w:rsidRPr="008E7A5D" w:rsidTr="00FA2D9A">
        <w:trPr>
          <w:trHeight w:hRule="exact" w:val="360"/>
        </w:trPr>
        <w:tc>
          <w:tcPr>
            <w:tcW w:w="9576" w:type="dxa"/>
            <w:tcBorders>
              <w:top w:val="single" w:sz="12" w:space="0" w:color="17365D" w:themeColor="text2" w:themeShade="BF"/>
              <w:left w:val="nil"/>
              <w:bottom w:val="single" w:sz="12" w:space="0" w:color="17365D" w:themeColor="text2" w:themeShade="BF"/>
              <w:right w:val="nil"/>
            </w:tcBorders>
          </w:tcPr>
          <w:p w:rsidR="008E7A5D" w:rsidRPr="008E7A5D" w:rsidRDefault="008E7A5D" w:rsidP="00AC2A9D">
            <w:pPr>
              <w:pStyle w:val="Heading3"/>
              <w:spacing w:before="0"/>
              <w:outlineLvl w:val="2"/>
            </w:pPr>
            <w:bookmarkStart w:id="64" w:name="_Toc489280903"/>
            <w:r w:rsidRPr="00AC2A9D">
              <w:rPr>
                <w:sz w:val="28"/>
              </w:rPr>
              <w:lastRenderedPageBreak/>
              <w:t>6.0 Discharge</w:t>
            </w:r>
            <w:bookmarkEnd w:id="64"/>
          </w:p>
        </w:tc>
      </w:tr>
    </w:tbl>
    <w:p w:rsidR="008E7A5D" w:rsidRPr="008E7A5D" w:rsidRDefault="008E7A5D" w:rsidP="008E7A5D">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4601D3" w:rsidTr="004601D3">
        <w:tc>
          <w:tcPr>
            <w:tcW w:w="9576" w:type="dxa"/>
            <w:tcBorders>
              <w:top w:val="nil"/>
              <w:left w:val="nil"/>
              <w:bottom w:val="nil"/>
              <w:right w:val="nil"/>
            </w:tcBorders>
          </w:tcPr>
          <w:p w:rsidR="004601D3" w:rsidRDefault="004601D3" w:rsidP="008E7A5D">
            <w:pPr>
              <w:rPr>
                <w:rFonts w:cs="Arial"/>
              </w:rPr>
            </w:pPr>
            <w:r w:rsidRPr="008E7A5D">
              <w:rPr>
                <w:rFonts w:cs="Arial"/>
              </w:rPr>
              <w:t xml:space="preserve">Consumers who are no longer engaged in HIV treatment and care services should have their cases closed based on the criteria and protocol outlined in the agency’s Medical Case Management </w:t>
            </w:r>
            <w:r>
              <w:rPr>
                <w:rFonts w:cs="Arial"/>
              </w:rPr>
              <w:t>Policies and Procedures Manual.</w:t>
            </w:r>
          </w:p>
        </w:tc>
      </w:tr>
    </w:tbl>
    <w:p w:rsidR="008E7A5D" w:rsidRDefault="008E7A5D" w:rsidP="008E7A5D">
      <w:pPr>
        <w:spacing w:after="0" w:line="240" w:lineRule="auto"/>
        <w:jc w:val="both"/>
        <w:rPr>
          <w:rFonts w:ascii="Arial" w:hAnsi="Arial" w:cs="Arial"/>
          <w:color w:val="FFFFFF" w:themeColor="background1"/>
          <w:sz w:val="24"/>
        </w:rPr>
      </w:pPr>
    </w:p>
    <w:tbl>
      <w:tblPr>
        <w:tblStyle w:val="TableGrid14"/>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AC2A9D" w:rsidRPr="00AC2A9D" w:rsidTr="00FA2D9A">
        <w:trPr>
          <w:trHeight w:hRule="exact" w:val="360"/>
        </w:trPr>
        <w:tc>
          <w:tcPr>
            <w:tcW w:w="9558" w:type="dxa"/>
            <w:gridSpan w:val="6"/>
            <w:shd w:val="clear" w:color="auto" w:fill="17365D" w:themeFill="text2" w:themeFillShade="BF"/>
          </w:tcPr>
          <w:p w:rsidR="008E7A5D" w:rsidRPr="00AC2A9D" w:rsidRDefault="008E7A5D" w:rsidP="00AC2A9D">
            <w:pPr>
              <w:pStyle w:val="Heading4"/>
              <w:spacing w:before="0"/>
              <w:outlineLvl w:val="3"/>
              <w:rPr>
                <w:color w:val="FFFFFF" w:themeColor="background1"/>
                <w:sz w:val="28"/>
              </w:rPr>
            </w:pPr>
            <w:r w:rsidRPr="00AC2A9D">
              <w:rPr>
                <w:color w:val="FFFFFF" w:themeColor="background1"/>
                <w:sz w:val="28"/>
              </w:rPr>
              <w:t>6.0 Discharge</w:t>
            </w:r>
          </w:p>
        </w:tc>
      </w:tr>
      <w:tr w:rsidR="008E7A5D" w:rsidRPr="008E7A5D" w:rsidTr="00FA2D9A">
        <w:trPr>
          <w:trHeight w:hRule="exact" w:val="360"/>
        </w:trPr>
        <w:tc>
          <w:tcPr>
            <w:tcW w:w="720" w:type="dxa"/>
          </w:tcPr>
          <w:p w:rsidR="008E7A5D" w:rsidRPr="008E7A5D" w:rsidRDefault="008E7A5D" w:rsidP="008E7A5D">
            <w:pPr>
              <w:rPr>
                <w:rFonts w:cs="Arial"/>
              </w:rPr>
            </w:pPr>
          </w:p>
        </w:tc>
        <w:tc>
          <w:tcPr>
            <w:tcW w:w="4176" w:type="dxa"/>
            <w:gridSpan w:val="2"/>
          </w:tcPr>
          <w:p w:rsidR="008E7A5D" w:rsidRPr="008E7A5D" w:rsidRDefault="008E7A5D" w:rsidP="008E7A5D">
            <w:pPr>
              <w:rPr>
                <w:rFonts w:cs="Arial"/>
              </w:rPr>
            </w:pPr>
          </w:p>
        </w:tc>
        <w:tc>
          <w:tcPr>
            <w:tcW w:w="720" w:type="dxa"/>
            <w:gridSpan w:val="2"/>
          </w:tcPr>
          <w:p w:rsidR="008E7A5D" w:rsidRPr="008E7A5D" w:rsidRDefault="008E7A5D" w:rsidP="008E7A5D">
            <w:pPr>
              <w:rPr>
                <w:rFonts w:cs="Arial"/>
              </w:rPr>
            </w:pPr>
          </w:p>
        </w:tc>
        <w:tc>
          <w:tcPr>
            <w:tcW w:w="3942" w:type="dxa"/>
          </w:tcPr>
          <w:p w:rsidR="008E7A5D" w:rsidRPr="008E7A5D" w:rsidRDefault="008E7A5D" w:rsidP="008E7A5D">
            <w:pPr>
              <w:rPr>
                <w:rFonts w:cs="Arial"/>
              </w:rPr>
            </w:pPr>
          </w:p>
        </w:tc>
      </w:tr>
      <w:tr w:rsidR="008E7A5D" w:rsidRPr="008E7A5D" w:rsidTr="00FA2D9A">
        <w:trPr>
          <w:trHeight w:hRule="exact" w:val="360"/>
        </w:trPr>
        <w:tc>
          <w:tcPr>
            <w:tcW w:w="4896" w:type="dxa"/>
            <w:gridSpan w:val="3"/>
            <w:tcBorders>
              <w:bottom w:val="single" w:sz="12" w:space="0" w:color="17365D" w:themeColor="text2" w:themeShade="BF"/>
              <w:right w:val="single" w:sz="12" w:space="0" w:color="17365D" w:themeColor="text2" w:themeShade="BF"/>
            </w:tcBorders>
            <w:vAlign w:val="center"/>
          </w:tcPr>
          <w:p w:rsidR="008E7A5D" w:rsidRPr="00665E1E" w:rsidRDefault="008E7A5D" w:rsidP="008E7A5D">
            <w:pPr>
              <w:jc w:val="center"/>
              <w:rPr>
                <w:rStyle w:val="BookTitle"/>
              </w:rPr>
            </w:pPr>
            <w:r w:rsidRPr="00665E1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8E7A5D" w:rsidRPr="00665E1E" w:rsidRDefault="008E7A5D" w:rsidP="008E7A5D">
            <w:pPr>
              <w:jc w:val="center"/>
              <w:rPr>
                <w:rStyle w:val="BookTitle"/>
              </w:rPr>
            </w:pPr>
            <w:r w:rsidRPr="00665E1E">
              <w:rPr>
                <w:rStyle w:val="BookTitle"/>
              </w:rPr>
              <w:t>Measures</w:t>
            </w:r>
          </w:p>
        </w:tc>
      </w:tr>
      <w:tr w:rsidR="008E7A5D" w:rsidRPr="00665E1E"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6.1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rPr>
            </w:pPr>
            <w:r w:rsidRPr="00665E1E">
              <w:rPr>
                <w:rFonts w:cs="Arial"/>
              </w:rPr>
              <w:t>Upon termination of active Medical Case Management services, a consumer’s case shall be closed and the record shall contain a discharge summary documenting the case disposition and offer an exit interview.</w:t>
            </w:r>
          </w:p>
          <w:p w:rsidR="00AC2A9D" w:rsidRPr="00665E1E" w:rsidRDefault="00AC2A9D" w:rsidP="008E7A5D">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6.1</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Upon discharge consumers will receive a transition plan that outlines available resources and instructions for follow-up</w:t>
            </w:r>
          </w:p>
          <w:p w:rsidR="008E7A5D" w:rsidRPr="00665E1E" w:rsidRDefault="008E7A5D" w:rsidP="008E7A5D">
            <w:pPr>
              <w:rPr>
                <w:rFonts w:cs="Arial"/>
              </w:rPr>
            </w:pPr>
          </w:p>
        </w:tc>
      </w:tr>
      <w:tr w:rsidR="008E7A5D" w:rsidRPr="00665E1E"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6.2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rPr>
            </w:pPr>
            <w:r w:rsidRPr="00665E1E">
              <w:rPr>
                <w:rFonts w:cs="Arial"/>
              </w:rPr>
              <w:t>Each closed consumer record shall contain a face-to-face discharge summary and an exit interview, where appropriate.</w:t>
            </w:r>
          </w:p>
          <w:p w:rsidR="008E7A5D" w:rsidRPr="00665E1E" w:rsidRDefault="008E7A5D" w:rsidP="008E7A5D">
            <w:pPr>
              <w:rPr>
                <w:rFonts w:cs="Arial"/>
              </w:rPr>
            </w:pPr>
          </w:p>
          <w:p w:rsidR="00AC2A9D" w:rsidRPr="004601D3" w:rsidRDefault="008E7A5D" w:rsidP="00AC2A9D">
            <w:pPr>
              <w:rPr>
                <w:rFonts w:cs="Arial"/>
                <w:b/>
                <w:sz w:val="22"/>
                <w:szCs w:val="24"/>
              </w:rPr>
            </w:pPr>
            <w:r w:rsidRPr="004601D3">
              <w:rPr>
                <w:rFonts w:cs="Arial"/>
                <w:b/>
                <w:sz w:val="22"/>
                <w:szCs w:val="24"/>
              </w:rPr>
              <w:t>Note: When Case Manager is not able to conduct an exit interview or discharge summary, the reason must be documented in the record.</w:t>
            </w:r>
          </w:p>
          <w:p w:rsidR="00665E1E" w:rsidRPr="00665E1E" w:rsidRDefault="00665E1E" w:rsidP="00AC2A9D">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6.2</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contextualSpacing/>
              <w:rPr>
                <w:rFonts w:cs="Arial"/>
              </w:rPr>
            </w:pPr>
            <w:r w:rsidRPr="00665E1E">
              <w:rPr>
                <w:rFonts w:cs="Arial"/>
              </w:rPr>
              <w:t>The discharge summary shall document the recent foreclosure and case disposition and shall be reviewed by the medical case manager supervisor.</w:t>
            </w:r>
          </w:p>
        </w:tc>
      </w:tr>
      <w:tr w:rsidR="008E7A5D" w:rsidRPr="00665E1E"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6.3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rPr>
            </w:pPr>
            <w:r w:rsidRPr="00665E1E">
              <w:rPr>
                <w:rFonts w:cs="Arial"/>
              </w:rPr>
              <w:t>All discharged consumers shall be offered an exit interview via one of the following:</w:t>
            </w:r>
          </w:p>
          <w:p w:rsidR="008E7A5D" w:rsidRPr="00665E1E" w:rsidRDefault="00AC2A9D" w:rsidP="001B1B43">
            <w:pPr>
              <w:pStyle w:val="ListParagraph"/>
              <w:numPr>
                <w:ilvl w:val="0"/>
                <w:numId w:val="70"/>
              </w:numPr>
              <w:rPr>
                <w:rFonts w:cs="Arial"/>
              </w:rPr>
            </w:pPr>
            <w:r w:rsidRPr="00665E1E">
              <w:rPr>
                <w:rFonts w:cs="Arial"/>
              </w:rPr>
              <w:t>Face-to-face visit;</w:t>
            </w:r>
          </w:p>
          <w:p w:rsidR="008E7A5D" w:rsidRPr="00665E1E" w:rsidRDefault="00AC2A9D" w:rsidP="001B1B43">
            <w:pPr>
              <w:pStyle w:val="ListParagraph"/>
              <w:numPr>
                <w:ilvl w:val="0"/>
                <w:numId w:val="70"/>
              </w:numPr>
              <w:rPr>
                <w:rFonts w:cs="Arial"/>
              </w:rPr>
            </w:pPr>
            <w:r w:rsidRPr="00665E1E">
              <w:rPr>
                <w:rFonts w:cs="Arial"/>
              </w:rPr>
              <w:t xml:space="preserve">Telephone; or </w:t>
            </w:r>
          </w:p>
          <w:p w:rsidR="008E7A5D" w:rsidRPr="00665E1E" w:rsidRDefault="00AC2A9D" w:rsidP="001B1B43">
            <w:pPr>
              <w:pStyle w:val="ListParagraph"/>
              <w:numPr>
                <w:ilvl w:val="0"/>
                <w:numId w:val="70"/>
              </w:numPr>
              <w:rPr>
                <w:rFonts w:cs="Arial"/>
              </w:rPr>
            </w:pPr>
            <w:r w:rsidRPr="00665E1E">
              <w:rPr>
                <w:rFonts w:cs="Arial"/>
              </w:rPr>
              <w:t>Written communication</w:t>
            </w:r>
          </w:p>
          <w:p w:rsidR="008E7A5D" w:rsidRPr="00665E1E" w:rsidRDefault="008E7A5D" w:rsidP="008E7A5D">
            <w:pPr>
              <w:ind w:left="360"/>
              <w:contextualSpacing/>
              <w:rPr>
                <w:rFonts w:cs="Arial"/>
              </w:rPr>
            </w:pPr>
          </w:p>
          <w:p w:rsidR="008E7A5D" w:rsidRPr="004601D3" w:rsidRDefault="008E7A5D" w:rsidP="008E7A5D">
            <w:pPr>
              <w:rPr>
                <w:rFonts w:cs="Arial"/>
                <w:b/>
                <w:sz w:val="22"/>
                <w:szCs w:val="24"/>
              </w:rPr>
            </w:pPr>
            <w:r w:rsidRPr="004601D3">
              <w:rPr>
                <w:rFonts w:cs="Arial"/>
                <w:b/>
                <w:sz w:val="22"/>
                <w:szCs w:val="24"/>
              </w:rPr>
              <w:t>Note: When the Case Manager  is not able to conduct an exit interview, reason must be documented in the record</w:t>
            </w:r>
          </w:p>
          <w:p w:rsidR="00AC2A9D" w:rsidRPr="00665E1E" w:rsidRDefault="00AC2A9D" w:rsidP="008E7A5D">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6.3</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The discharge summary shall document an exit interview was offered.</w:t>
            </w:r>
          </w:p>
        </w:tc>
      </w:tr>
      <w:tr w:rsidR="008E7A5D" w:rsidRPr="00665E1E" w:rsidTr="00FA2D9A">
        <w:tc>
          <w:tcPr>
            <w:tcW w:w="738"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6.4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8E7A5D" w:rsidRPr="00665E1E" w:rsidRDefault="008E7A5D" w:rsidP="008E7A5D">
            <w:pPr>
              <w:rPr>
                <w:rFonts w:cs="Arial"/>
                <w:szCs w:val="24"/>
              </w:rPr>
            </w:pPr>
            <w:r w:rsidRPr="00665E1E">
              <w:rPr>
                <w:rFonts w:cs="Arial"/>
                <w:szCs w:val="24"/>
              </w:rPr>
              <w:t>All discharge summaries shall be documented in Consumer record within 6 months of the last consumer contact.</w:t>
            </w:r>
          </w:p>
          <w:p w:rsidR="00AC2A9D" w:rsidRPr="00665E1E" w:rsidRDefault="00AC2A9D" w:rsidP="008E7A5D">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6.4</w:t>
            </w:r>
          </w:p>
        </w:tc>
        <w:tc>
          <w:tcPr>
            <w:tcW w:w="3960" w:type="dxa"/>
            <w:gridSpan w:val="2"/>
            <w:tcBorders>
              <w:top w:val="single" w:sz="12" w:space="0" w:color="17365D" w:themeColor="text2" w:themeShade="BF"/>
              <w:bottom w:val="single" w:sz="12" w:space="0" w:color="17365D" w:themeColor="text2" w:themeShade="BF"/>
            </w:tcBorders>
          </w:tcPr>
          <w:p w:rsidR="008E7A5D" w:rsidRPr="00665E1E" w:rsidRDefault="008E7A5D" w:rsidP="008E7A5D">
            <w:pPr>
              <w:rPr>
                <w:rFonts w:cs="Arial"/>
              </w:rPr>
            </w:pPr>
            <w:r w:rsidRPr="00665E1E">
              <w:rPr>
                <w:rFonts w:cs="Arial"/>
              </w:rPr>
              <w:t>Documentation in PE.</w:t>
            </w:r>
          </w:p>
        </w:tc>
      </w:tr>
    </w:tbl>
    <w:p w:rsidR="00B4243E" w:rsidRDefault="00B4243E" w:rsidP="002C5805">
      <w:pPr>
        <w:spacing w:after="0" w:line="240" w:lineRule="auto"/>
        <w:jc w:val="both"/>
        <w:rPr>
          <w:rFonts w:ascii="Arial" w:hAnsi="Arial" w:cs="Arial"/>
          <w:sz w:val="24"/>
        </w:rPr>
        <w:sectPr w:rsidR="00B4243E" w:rsidSect="00B30500">
          <w:footerReference w:type="default" r:id="rId51"/>
          <w:footerReference w:type="first" r:id="rId52"/>
          <w:pgSz w:w="12240" w:h="15840" w:code="1"/>
          <w:pgMar w:top="1296" w:right="1440" w:bottom="1296" w:left="1440" w:header="720" w:footer="432"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576"/>
      </w:tblGrid>
      <w:tr w:rsidR="002A30CF" w:rsidTr="002A30CF">
        <w:tc>
          <w:tcPr>
            <w:tcW w:w="9576" w:type="dxa"/>
            <w:shd w:val="clear" w:color="auto" w:fill="17365D" w:themeFill="text2" w:themeFillShade="BF"/>
          </w:tcPr>
          <w:p w:rsidR="002A30CF" w:rsidRPr="00AC2A9D" w:rsidRDefault="002A30CF" w:rsidP="00A921E5">
            <w:pPr>
              <w:pStyle w:val="Heading2"/>
              <w:spacing w:before="0"/>
              <w:jc w:val="center"/>
              <w:outlineLvl w:val="1"/>
              <w:rPr>
                <w:color w:val="FFFFFF" w:themeColor="background1"/>
                <w:sz w:val="32"/>
              </w:rPr>
            </w:pPr>
            <w:bookmarkStart w:id="65" w:name="_Substance_Abuse_Services"/>
            <w:bookmarkStart w:id="66" w:name="_Toc489280904"/>
            <w:bookmarkEnd w:id="65"/>
            <w:r w:rsidRPr="00AC2A9D">
              <w:rPr>
                <w:color w:val="FFFFFF" w:themeColor="background1"/>
                <w:sz w:val="32"/>
              </w:rPr>
              <w:lastRenderedPageBreak/>
              <w:t>Substance Abuse Services (Outpatient)</w:t>
            </w:r>
            <w:bookmarkEnd w:id="66"/>
          </w:p>
        </w:tc>
      </w:tr>
    </w:tbl>
    <w:p w:rsidR="00B4243E" w:rsidRDefault="00B4243E" w:rsidP="002C5805">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4601D3" w:rsidTr="004601D3">
        <w:tc>
          <w:tcPr>
            <w:tcW w:w="9576" w:type="dxa"/>
            <w:tcBorders>
              <w:top w:val="nil"/>
              <w:left w:val="nil"/>
              <w:bottom w:val="nil"/>
              <w:right w:val="nil"/>
            </w:tcBorders>
          </w:tcPr>
          <w:p w:rsidR="004601D3" w:rsidRDefault="004601D3" w:rsidP="004601D3">
            <w:pPr>
              <w:rPr>
                <w:rFonts w:cs="Arial"/>
              </w:rPr>
            </w:pPr>
            <w:r w:rsidRPr="00AC2A9D">
              <w:rPr>
                <w:rFonts w:cs="Arial"/>
                <w:b/>
              </w:rPr>
              <w:t>Definition</w:t>
            </w:r>
            <w:r w:rsidRPr="00AC2A9D">
              <w:rPr>
                <w:rFonts w:cs="Arial"/>
              </w:rPr>
              <w:t xml:space="preserve">: </w:t>
            </w:r>
          </w:p>
          <w:p w:rsidR="00C239A1" w:rsidRDefault="004601D3" w:rsidP="004601D3">
            <w:pPr>
              <w:rPr>
                <w:rFonts w:cs="Arial"/>
              </w:rPr>
            </w:pPr>
            <w:r w:rsidRPr="00AC2A9D">
              <w:rPr>
                <w:rFonts w:cs="Arial"/>
              </w:rPr>
              <w:t xml:space="preserve">Substance Abuse Outpatient Care is the provision of outpatient services for the treatment of </w:t>
            </w:r>
            <w:r>
              <w:rPr>
                <w:rFonts w:cs="Arial"/>
              </w:rPr>
              <w:t xml:space="preserve">drug or alcohol use disorders. </w:t>
            </w:r>
          </w:p>
          <w:p w:rsidR="00C239A1" w:rsidRDefault="00C239A1" w:rsidP="004601D3">
            <w:pPr>
              <w:rPr>
                <w:rFonts w:cs="Arial"/>
              </w:rPr>
            </w:pPr>
          </w:p>
          <w:p w:rsidR="004601D3" w:rsidRPr="00AC2A9D" w:rsidRDefault="004601D3" w:rsidP="004601D3">
            <w:pPr>
              <w:rPr>
                <w:rFonts w:cs="Arial"/>
              </w:rPr>
            </w:pPr>
            <w:r w:rsidRPr="00AC2A9D">
              <w:rPr>
                <w:rFonts w:cs="Arial"/>
              </w:rPr>
              <w:t>Services include:</w:t>
            </w:r>
          </w:p>
          <w:p w:rsidR="004601D3" w:rsidRPr="00AC2A9D" w:rsidRDefault="004601D3" w:rsidP="001B1B43">
            <w:pPr>
              <w:numPr>
                <w:ilvl w:val="0"/>
                <w:numId w:val="71"/>
              </w:numPr>
              <w:contextualSpacing/>
              <w:rPr>
                <w:rFonts w:cs="Arial"/>
              </w:rPr>
            </w:pPr>
            <w:r w:rsidRPr="00AC2A9D">
              <w:rPr>
                <w:rFonts w:cs="Arial"/>
              </w:rPr>
              <w:t>Screening</w:t>
            </w:r>
          </w:p>
          <w:p w:rsidR="004601D3" w:rsidRPr="00AC2A9D" w:rsidRDefault="004601D3" w:rsidP="001B1B43">
            <w:pPr>
              <w:numPr>
                <w:ilvl w:val="0"/>
                <w:numId w:val="71"/>
              </w:numPr>
              <w:contextualSpacing/>
              <w:rPr>
                <w:rFonts w:cs="Arial"/>
              </w:rPr>
            </w:pPr>
            <w:r w:rsidRPr="00AC2A9D">
              <w:rPr>
                <w:rFonts w:cs="Arial"/>
              </w:rPr>
              <w:t>Assessment</w:t>
            </w:r>
          </w:p>
          <w:p w:rsidR="004601D3" w:rsidRPr="00AC2A9D" w:rsidRDefault="004601D3" w:rsidP="001B1B43">
            <w:pPr>
              <w:numPr>
                <w:ilvl w:val="0"/>
                <w:numId w:val="71"/>
              </w:numPr>
              <w:contextualSpacing/>
              <w:rPr>
                <w:rFonts w:cs="Arial"/>
              </w:rPr>
            </w:pPr>
            <w:r w:rsidRPr="00AC2A9D">
              <w:rPr>
                <w:rFonts w:cs="Arial"/>
              </w:rPr>
              <w:t xml:space="preserve">Diagnosis, and/or </w:t>
            </w:r>
          </w:p>
          <w:p w:rsidR="004601D3" w:rsidRPr="00AC2A9D" w:rsidRDefault="004601D3" w:rsidP="001B1B43">
            <w:pPr>
              <w:numPr>
                <w:ilvl w:val="0"/>
                <w:numId w:val="71"/>
              </w:numPr>
              <w:contextualSpacing/>
              <w:rPr>
                <w:rFonts w:cs="Arial"/>
              </w:rPr>
            </w:pPr>
            <w:r w:rsidRPr="00AC2A9D">
              <w:rPr>
                <w:rFonts w:cs="Arial"/>
              </w:rPr>
              <w:t>Treatment of substance use disorder, including</w:t>
            </w:r>
          </w:p>
          <w:p w:rsidR="004601D3" w:rsidRPr="00AC2A9D" w:rsidRDefault="004601D3" w:rsidP="001B1B43">
            <w:pPr>
              <w:numPr>
                <w:ilvl w:val="1"/>
                <w:numId w:val="71"/>
              </w:numPr>
              <w:contextualSpacing/>
              <w:rPr>
                <w:rFonts w:cs="Arial"/>
              </w:rPr>
            </w:pPr>
            <w:r w:rsidRPr="00AC2A9D">
              <w:rPr>
                <w:rFonts w:cs="Arial"/>
              </w:rPr>
              <w:t>Pretreatment/recovery readiness programs</w:t>
            </w:r>
          </w:p>
          <w:p w:rsidR="004601D3" w:rsidRPr="00AC2A9D" w:rsidRDefault="004601D3" w:rsidP="001B1B43">
            <w:pPr>
              <w:numPr>
                <w:ilvl w:val="1"/>
                <w:numId w:val="71"/>
              </w:numPr>
              <w:contextualSpacing/>
              <w:rPr>
                <w:rFonts w:cs="Arial"/>
              </w:rPr>
            </w:pPr>
            <w:r w:rsidRPr="00AC2A9D">
              <w:rPr>
                <w:rFonts w:cs="Arial"/>
              </w:rPr>
              <w:t>Harm reduction</w:t>
            </w:r>
          </w:p>
          <w:p w:rsidR="004601D3" w:rsidRPr="00AC2A9D" w:rsidRDefault="004601D3" w:rsidP="001B1B43">
            <w:pPr>
              <w:numPr>
                <w:ilvl w:val="1"/>
                <w:numId w:val="71"/>
              </w:numPr>
              <w:contextualSpacing/>
              <w:rPr>
                <w:rFonts w:cs="Arial"/>
              </w:rPr>
            </w:pPr>
            <w:r w:rsidRPr="00AC2A9D">
              <w:rPr>
                <w:rFonts w:cs="Arial"/>
              </w:rPr>
              <w:t>Behavioral health counseling associated with substance use disorder</w:t>
            </w:r>
          </w:p>
          <w:p w:rsidR="004601D3" w:rsidRPr="00AC2A9D" w:rsidRDefault="004601D3" w:rsidP="001B1B43">
            <w:pPr>
              <w:numPr>
                <w:ilvl w:val="1"/>
                <w:numId w:val="71"/>
              </w:numPr>
              <w:contextualSpacing/>
              <w:rPr>
                <w:rFonts w:cs="Arial"/>
              </w:rPr>
            </w:pPr>
            <w:r w:rsidRPr="00AC2A9D">
              <w:rPr>
                <w:rFonts w:cs="Arial"/>
              </w:rPr>
              <w:t>Outpatient drug-free treatment and counseling</w:t>
            </w:r>
          </w:p>
          <w:p w:rsidR="004601D3" w:rsidRPr="00AC2A9D" w:rsidRDefault="004601D3" w:rsidP="001B1B43">
            <w:pPr>
              <w:numPr>
                <w:ilvl w:val="1"/>
                <w:numId w:val="71"/>
              </w:numPr>
              <w:contextualSpacing/>
              <w:rPr>
                <w:rFonts w:cs="Arial"/>
              </w:rPr>
            </w:pPr>
            <w:r w:rsidRPr="00AC2A9D">
              <w:rPr>
                <w:rFonts w:cs="Arial"/>
              </w:rPr>
              <w:t>Medication assisted therapy</w:t>
            </w:r>
          </w:p>
          <w:p w:rsidR="004601D3" w:rsidRPr="00AC2A9D" w:rsidRDefault="004601D3" w:rsidP="001B1B43">
            <w:pPr>
              <w:numPr>
                <w:ilvl w:val="1"/>
                <w:numId w:val="71"/>
              </w:numPr>
              <w:contextualSpacing/>
              <w:rPr>
                <w:rFonts w:cs="Arial"/>
              </w:rPr>
            </w:pPr>
            <w:r w:rsidRPr="00AC2A9D">
              <w:rPr>
                <w:rFonts w:cs="Arial"/>
              </w:rPr>
              <w:t>Neuro-psychiatric pharmaceuticals</w:t>
            </w:r>
          </w:p>
          <w:p w:rsidR="004601D3" w:rsidRPr="00AC2A9D" w:rsidRDefault="004601D3" w:rsidP="001B1B43">
            <w:pPr>
              <w:numPr>
                <w:ilvl w:val="1"/>
                <w:numId w:val="71"/>
              </w:numPr>
              <w:spacing w:before="240"/>
              <w:contextualSpacing/>
              <w:rPr>
                <w:rFonts w:cs="Arial"/>
              </w:rPr>
            </w:pPr>
            <w:r w:rsidRPr="00AC2A9D">
              <w:rPr>
                <w:rFonts w:cs="Arial"/>
              </w:rPr>
              <w:t>Relapse prevention</w:t>
            </w:r>
          </w:p>
          <w:p w:rsidR="004601D3" w:rsidRDefault="004601D3" w:rsidP="004601D3">
            <w:pPr>
              <w:spacing w:before="240"/>
              <w:rPr>
                <w:rFonts w:cs="Arial"/>
              </w:rPr>
            </w:pPr>
            <w:r w:rsidRPr="00AC2A9D">
              <w:rPr>
                <w:rFonts w:cs="Arial"/>
              </w:rPr>
              <w:t>Acupuncture therapy may be allowable under this services category only when, as part of a substance use disorder treatment program funded under the Ryan White Program, it is included in a documented plan.</w:t>
            </w:r>
          </w:p>
          <w:p w:rsidR="00C239A1" w:rsidRPr="00AC2A9D" w:rsidRDefault="00C239A1" w:rsidP="00C239A1">
            <w:pPr>
              <w:rPr>
                <w:rFonts w:cs="Arial"/>
              </w:rPr>
            </w:pPr>
          </w:p>
          <w:p w:rsidR="004601D3" w:rsidRDefault="004601D3" w:rsidP="004601D3">
            <w:pPr>
              <w:rPr>
                <w:rFonts w:cs="Arial"/>
              </w:rPr>
            </w:pPr>
            <w:r w:rsidRPr="00AC2A9D">
              <w:rPr>
                <w:rFonts w:cs="Arial"/>
              </w:rPr>
              <w:t>Syringe access services are allowable, to the extent that they comport with current appropriations law and applicable Health and Human Services (HHS) guidance, including Health Resources and Services Administration (HRSA) - or the HIV/AIDS Bureau (HAB)-specific guidance.</w:t>
            </w:r>
          </w:p>
          <w:p w:rsidR="00C239A1" w:rsidRPr="00AC2A9D" w:rsidRDefault="00C239A1" w:rsidP="004601D3">
            <w:pPr>
              <w:rPr>
                <w:rFonts w:cs="Arial"/>
              </w:rPr>
            </w:pPr>
          </w:p>
          <w:p w:rsidR="004601D3" w:rsidRDefault="004601D3" w:rsidP="004601D3">
            <w:pPr>
              <w:rPr>
                <w:rFonts w:cs="Arial"/>
              </w:rPr>
            </w:pPr>
            <w:r w:rsidRPr="00AC2A9D">
              <w:rPr>
                <w:rFonts w:cs="Arial"/>
                <w:b/>
              </w:rPr>
              <w:t>Eligibility</w:t>
            </w:r>
            <w:r w:rsidRPr="00AC2A9D">
              <w:rPr>
                <w:rFonts w:cs="Arial"/>
              </w:rPr>
              <w:t xml:space="preserve">: </w:t>
            </w:r>
          </w:p>
          <w:p w:rsidR="004601D3" w:rsidRDefault="004601D3" w:rsidP="004601D3">
            <w:pPr>
              <w:rPr>
                <w:rFonts w:cs="Arial"/>
                <w:b/>
              </w:rPr>
            </w:pPr>
            <w:r w:rsidRPr="00AC2A9D">
              <w:rPr>
                <w:rFonts w:cs="Arial"/>
              </w:rPr>
              <w:t>Consumers shall meet eligibility requirements as defined in the System-Wide Standards of Care.</w:t>
            </w:r>
          </w:p>
        </w:tc>
      </w:tr>
    </w:tbl>
    <w:p w:rsidR="00AC2A9D" w:rsidRDefault="00AC2A9D" w:rsidP="004601D3">
      <w:pPr>
        <w:spacing w:after="0"/>
        <w:rPr>
          <w:rFonts w:ascii="Arial" w:hAnsi="Arial" w:cs="Arial"/>
          <w:sz w:val="24"/>
        </w:rPr>
      </w:pPr>
    </w:p>
    <w:tbl>
      <w:tblPr>
        <w:tblStyle w:val="TableGrid14"/>
        <w:tblW w:w="0" w:type="auto"/>
        <w:tblLook w:val="04A0" w:firstRow="1" w:lastRow="0" w:firstColumn="1" w:lastColumn="0" w:noHBand="0" w:noVBand="1"/>
      </w:tblPr>
      <w:tblGrid>
        <w:gridCol w:w="9576"/>
      </w:tblGrid>
      <w:tr w:rsidR="00AC2A9D" w:rsidRPr="008E7A5D" w:rsidTr="00575030">
        <w:trPr>
          <w:trHeight w:hRule="exact" w:val="360"/>
        </w:trPr>
        <w:tc>
          <w:tcPr>
            <w:tcW w:w="9576" w:type="dxa"/>
            <w:tcBorders>
              <w:top w:val="single" w:sz="12" w:space="0" w:color="17365D" w:themeColor="text2" w:themeShade="BF"/>
              <w:left w:val="nil"/>
              <w:bottom w:val="single" w:sz="12" w:space="0" w:color="17365D" w:themeColor="text2" w:themeShade="BF"/>
              <w:right w:val="nil"/>
            </w:tcBorders>
          </w:tcPr>
          <w:p w:rsidR="00AC2A9D" w:rsidRPr="004601D3" w:rsidRDefault="00AC2A9D" w:rsidP="00575030">
            <w:pPr>
              <w:pStyle w:val="Heading3"/>
              <w:spacing w:before="0"/>
              <w:outlineLvl w:val="2"/>
            </w:pPr>
            <w:bookmarkStart w:id="67" w:name="_Toc489280905"/>
            <w:r w:rsidRPr="004601D3">
              <w:rPr>
                <w:rFonts w:eastAsia="Calibri" w:cs="Times New Roman"/>
                <w:bCs/>
                <w:sz w:val="28"/>
              </w:rPr>
              <w:t>1.0 Agency Policies and Procedures</w:t>
            </w:r>
            <w:bookmarkEnd w:id="67"/>
          </w:p>
        </w:tc>
      </w:tr>
    </w:tbl>
    <w:p w:rsidR="00AC2A9D" w:rsidRPr="00AC2A9D" w:rsidRDefault="00AC2A9D" w:rsidP="00AC2A9D">
      <w:pPr>
        <w:spacing w:after="0"/>
        <w:rPr>
          <w:rFonts w:ascii="Arial" w:hAnsi="Arial" w:cs="Arial"/>
          <w:sz w:val="24"/>
        </w:rPr>
      </w:pPr>
    </w:p>
    <w:tbl>
      <w:tblPr>
        <w:tblStyle w:val="TableGrid"/>
        <w:tblW w:w="0" w:type="auto"/>
        <w:tblLook w:val="04A0" w:firstRow="1" w:lastRow="0" w:firstColumn="1" w:lastColumn="0" w:noHBand="0" w:noVBand="1"/>
      </w:tblPr>
      <w:tblGrid>
        <w:gridCol w:w="9576"/>
      </w:tblGrid>
      <w:tr w:rsidR="004601D3" w:rsidTr="004601D3">
        <w:tc>
          <w:tcPr>
            <w:tcW w:w="9576" w:type="dxa"/>
            <w:tcBorders>
              <w:top w:val="nil"/>
              <w:left w:val="nil"/>
              <w:bottom w:val="nil"/>
              <w:right w:val="nil"/>
            </w:tcBorders>
          </w:tcPr>
          <w:p w:rsidR="004601D3" w:rsidRDefault="004601D3" w:rsidP="004601D3">
            <w:pPr>
              <w:rPr>
                <w:rFonts w:cs="Arial"/>
              </w:rPr>
            </w:pPr>
            <w:r w:rsidRPr="00AC2A9D">
              <w:rPr>
                <w:rFonts w:cs="Arial"/>
              </w:rPr>
              <w:t>The Agencies shall have Policy and Procedures to ensure that the Services are accessible to all eligible consumers.  The Agency’s policy and procedures shall ensure compliance with the following Standards.</w:t>
            </w:r>
          </w:p>
        </w:tc>
      </w:tr>
    </w:tbl>
    <w:p w:rsidR="00AC2A9D" w:rsidRPr="00AC2A9D" w:rsidRDefault="00AC2A9D" w:rsidP="00AC2A9D">
      <w:pPr>
        <w:spacing w:after="0" w:line="240" w:lineRule="auto"/>
        <w:rPr>
          <w:rFonts w:ascii="Arial" w:hAnsi="Arial" w:cs="Arial"/>
          <w:sz w:val="24"/>
        </w:rPr>
      </w:pPr>
    </w:p>
    <w:tbl>
      <w:tblPr>
        <w:tblStyle w:val="TableGrid15"/>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AC2A9D" w:rsidRPr="00AC2A9D" w:rsidTr="00665E1E">
        <w:trPr>
          <w:trHeight w:hRule="exact" w:val="333"/>
        </w:trPr>
        <w:tc>
          <w:tcPr>
            <w:tcW w:w="9558" w:type="dxa"/>
            <w:gridSpan w:val="6"/>
            <w:shd w:val="clear" w:color="auto" w:fill="17365D" w:themeFill="text2" w:themeFillShade="BF"/>
          </w:tcPr>
          <w:p w:rsidR="00AC2A9D" w:rsidRPr="00AC2A9D" w:rsidRDefault="00AC2A9D" w:rsidP="00665E1E">
            <w:pPr>
              <w:pStyle w:val="Heading4"/>
              <w:spacing w:before="0"/>
              <w:outlineLvl w:val="3"/>
            </w:pPr>
            <w:r w:rsidRPr="00665E1E">
              <w:rPr>
                <w:color w:val="FFFFFF" w:themeColor="background1"/>
                <w:sz w:val="28"/>
              </w:rPr>
              <w:t>1.0 Policies and Procedures</w:t>
            </w:r>
          </w:p>
        </w:tc>
      </w:tr>
      <w:tr w:rsidR="00AC2A9D" w:rsidRPr="00AC2A9D" w:rsidTr="00575030">
        <w:trPr>
          <w:trHeight w:hRule="exact" w:val="288"/>
        </w:trPr>
        <w:tc>
          <w:tcPr>
            <w:tcW w:w="720" w:type="dxa"/>
          </w:tcPr>
          <w:p w:rsidR="00AC2A9D" w:rsidRPr="00AC2A9D" w:rsidRDefault="00AC2A9D" w:rsidP="00AC2A9D">
            <w:pPr>
              <w:rPr>
                <w:rFonts w:cs="Arial"/>
              </w:rPr>
            </w:pPr>
          </w:p>
        </w:tc>
        <w:tc>
          <w:tcPr>
            <w:tcW w:w="4176" w:type="dxa"/>
            <w:gridSpan w:val="2"/>
          </w:tcPr>
          <w:p w:rsidR="00AC2A9D" w:rsidRPr="00AC2A9D" w:rsidRDefault="00AC2A9D" w:rsidP="00AC2A9D">
            <w:pPr>
              <w:rPr>
                <w:rFonts w:cs="Arial"/>
              </w:rPr>
            </w:pPr>
          </w:p>
        </w:tc>
        <w:tc>
          <w:tcPr>
            <w:tcW w:w="720" w:type="dxa"/>
            <w:gridSpan w:val="2"/>
          </w:tcPr>
          <w:p w:rsidR="00AC2A9D" w:rsidRPr="00AC2A9D" w:rsidRDefault="00AC2A9D" w:rsidP="00AC2A9D">
            <w:pPr>
              <w:rPr>
                <w:rFonts w:cs="Arial"/>
              </w:rPr>
            </w:pPr>
          </w:p>
        </w:tc>
        <w:tc>
          <w:tcPr>
            <w:tcW w:w="3942" w:type="dxa"/>
          </w:tcPr>
          <w:p w:rsidR="00AC2A9D" w:rsidRPr="00AC2A9D" w:rsidRDefault="00AC2A9D" w:rsidP="00AC2A9D">
            <w:pPr>
              <w:rPr>
                <w:rFonts w:cs="Arial"/>
              </w:rPr>
            </w:pPr>
          </w:p>
        </w:tc>
      </w:tr>
      <w:tr w:rsidR="00AC2A9D" w:rsidRPr="00AC2A9D" w:rsidTr="00575030">
        <w:trPr>
          <w:trHeight w:hRule="exact" w:val="288"/>
        </w:trPr>
        <w:tc>
          <w:tcPr>
            <w:tcW w:w="4896" w:type="dxa"/>
            <w:gridSpan w:val="3"/>
            <w:tcBorders>
              <w:bottom w:val="single" w:sz="12" w:space="0" w:color="17365D" w:themeColor="text2" w:themeShade="BF"/>
              <w:right w:val="single" w:sz="12" w:space="0" w:color="17365D" w:themeColor="text2" w:themeShade="BF"/>
            </w:tcBorders>
            <w:vAlign w:val="center"/>
          </w:tcPr>
          <w:p w:rsidR="00AC2A9D" w:rsidRPr="00665E1E" w:rsidRDefault="00AC2A9D" w:rsidP="00AC2A9D">
            <w:pPr>
              <w:jc w:val="center"/>
              <w:rPr>
                <w:rStyle w:val="BookTitle"/>
              </w:rPr>
            </w:pPr>
            <w:r w:rsidRPr="00665E1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AC2A9D" w:rsidRPr="00665E1E" w:rsidRDefault="00AC2A9D" w:rsidP="00AC2A9D">
            <w:pPr>
              <w:jc w:val="center"/>
              <w:rPr>
                <w:rStyle w:val="BookTitle"/>
              </w:rPr>
            </w:pPr>
            <w:r w:rsidRPr="00665E1E">
              <w:rPr>
                <w:rStyle w:val="BookTitle"/>
              </w:rPr>
              <w:t>Measures</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665E1E" w:rsidRDefault="00AC2A9D" w:rsidP="00AC2A9D">
            <w:pPr>
              <w:rPr>
                <w:rFonts w:cs="Arial"/>
                <w:szCs w:val="24"/>
              </w:rPr>
            </w:pPr>
            <w:r w:rsidRPr="00665E1E">
              <w:rPr>
                <w:rFonts w:cs="Arial"/>
                <w:szCs w:val="24"/>
              </w:rPr>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665E1E" w:rsidRDefault="00AC2A9D" w:rsidP="00665E1E">
            <w:pPr>
              <w:rPr>
                <w:rFonts w:cs="Arial"/>
                <w:szCs w:val="24"/>
              </w:rPr>
            </w:pPr>
            <w:r w:rsidRPr="00665E1E">
              <w:rPr>
                <w:rFonts w:cs="Arial"/>
                <w:szCs w:val="24"/>
              </w:rPr>
              <w:t>Comply with Florida Administrative Code Chapter 65D-30 and Chapter 397 of Florida Statutes.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665E1E" w:rsidRDefault="00AC2A9D" w:rsidP="00AC2A9D">
            <w:pPr>
              <w:rPr>
                <w:rFonts w:cs="Arial"/>
                <w:szCs w:val="24"/>
              </w:rPr>
            </w:pPr>
            <w:r w:rsidRPr="00665E1E">
              <w:rPr>
                <w:rFonts w:cs="Arial"/>
                <w:szCs w:val="24"/>
              </w:rPr>
              <w:t>1.1</w:t>
            </w:r>
          </w:p>
        </w:tc>
        <w:tc>
          <w:tcPr>
            <w:tcW w:w="3960" w:type="dxa"/>
            <w:gridSpan w:val="2"/>
            <w:tcBorders>
              <w:top w:val="single" w:sz="12" w:space="0" w:color="17365D" w:themeColor="text2" w:themeShade="BF"/>
              <w:bottom w:val="single" w:sz="12" w:space="0" w:color="17365D" w:themeColor="text2" w:themeShade="BF"/>
            </w:tcBorders>
          </w:tcPr>
          <w:p w:rsidR="00AC2A9D" w:rsidRPr="00665E1E" w:rsidRDefault="00AC2A9D" w:rsidP="00AC2A9D">
            <w:pPr>
              <w:rPr>
                <w:rFonts w:cs="Arial"/>
                <w:szCs w:val="24"/>
              </w:rPr>
            </w:pPr>
            <w:r w:rsidRPr="00665E1E">
              <w:rPr>
                <w:rFonts w:cs="Arial"/>
                <w:szCs w:val="24"/>
              </w:rPr>
              <w:t xml:space="preserve">Current licensure displayed. </w:t>
            </w:r>
          </w:p>
          <w:p w:rsidR="00AC2A9D" w:rsidRPr="00665E1E" w:rsidRDefault="00AC2A9D" w:rsidP="00AC2A9D">
            <w:pPr>
              <w:rPr>
                <w:rFonts w:cs="Arial"/>
                <w:szCs w:val="24"/>
              </w:rPr>
            </w:pPr>
            <w:r w:rsidRPr="00665E1E">
              <w:rPr>
                <w:rFonts w:cs="Arial"/>
                <w:szCs w:val="24"/>
              </w:rPr>
              <w:t>Staff resume, license, and certifications on file</w:t>
            </w:r>
          </w:p>
        </w:tc>
      </w:tr>
    </w:tbl>
    <w:p w:rsidR="00C239A1" w:rsidRDefault="00C239A1"/>
    <w:tbl>
      <w:tblPr>
        <w:tblStyle w:val="TableGrid14"/>
        <w:tblW w:w="0" w:type="auto"/>
        <w:tblLayout w:type="fixed"/>
        <w:tblLook w:val="04A0" w:firstRow="1" w:lastRow="0" w:firstColumn="1" w:lastColumn="0" w:noHBand="0" w:noVBand="1"/>
      </w:tblPr>
      <w:tblGrid>
        <w:gridCol w:w="9576"/>
      </w:tblGrid>
      <w:tr w:rsidR="00AC2A9D" w:rsidRPr="008E7A5D" w:rsidTr="00C239A1">
        <w:trPr>
          <w:trHeight w:hRule="exact" w:val="360"/>
        </w:trPr>
        <w:tc>
          <w:tcPr>
            <w:tcW w:w="9576" w:type="dxa"/>
            <w:tcBorders>
              <w:top w:val="single" w:sz="12" w:space="0" w:color="17365D" w:themeColor="text2" w:themeShade="BF"/>
              <w:left w:val="nil"/>
              <w:bottom w:val="nil"/>
              <w:right w:val="nil"/>
            </w:tcBorders>
          </w:tcPr>
          <w:p w:rsidR="00AC2A9D" w:rsidRPr="00C239A1" w:rsidRDefault="00AC2A9D" w:rsidP="00575030">
            <w:pPr>
              <w:pStyle w:val="Heading3"/>
              <w:spacing w:before="0"/>
              <w:outlineLvl w:val="2"/>
              <w:rPr>
                <w:b w:val="0"/>
              </w:rPr>
            </w:pPr>
            <w:bookmarkStart w:id="68" w:name="_Toc489280906"/>
            <w:r w:rsidRPr="00C239A1">
              <w:rPr>
                <w:rFonts w:eastAsia="Calibri" w:cs="Times New Roman"/>
                <w:bCs/>
                <w:sz w:val="28"/>
              </w:rPr>
              <w:lastRenderedPageBreak/>
              <w:t>2.0 Scope of Service</w:t>
            </w:r>
            <w:bookmarkEnd w:id="68"/>
          </w:p>
        </w:tc>
      </w:tr>
    </w:tbl>
    <w:tbl>
      <w:tblPr>
        <w:tblStyle w:val="TableGrid"/>
        <w:tblW w:w="0" w:type="auto"/>
        <w:tblLook w:val="04A0" w:firstRow="1" w:lastRow="0" w:firstColumn="1" w:lastColumn="0" w:noHBand="0" w:noVBand="1"/>
      </w:tblPr>
      <w:tblGrid>
        <w:gridCol w:w="9576"/>
      </w:tblGrid>
      <w:tr w:rsidR="00C239A1" w:rsidTr="00C239A1">
        <w:tc>
          <w:tcPr>
            <w:tcW w:w="9576" w:type="dxa"/>
            <w:tcBorders>
              <w:top w:val="nil"/>
              <w:left w:val="nil"/>
              <w:bottom w:val="nil"/>
              <w:right w:val="nil"/>
            </w:tcBorders>
          </w:tcPr>
          <w:p w:rsidR="00C239A1" w:rsidRDefault="00C239A1" w:rsidP="00C239A1">
            <w:pPr>
              <w:spacing w:before="240"/>
              <w:rPr>
                <w:rFonts w:cs="Arial"/>
              </w:rPr>
            </w:pPr>
            <w:r w:rsidRPr="00AC2A9D">
              <w:rPr>
                <w:rFonts w:cs="Arial"/>
              </w:rPr>
              <w:t xml:space="preserve">Agencies shall comply with all of the requirements outlined in this Standard of Care, unless otherwise specified in their contract. </w:t>
            </w:r>
          </w:p>
        </w:tc>
      </w:tr>
    </w:tbl>
    <w:p w:rsidR="00AC2A9D" w:rsidRPr="00AC2A9D" w:rsidRDefault="00AC2A9D" w:rsidP="00C239A1">
      <w:pPr>
        <w:spacing w:after="0" w:line="240" w:lineRule="auto"/>
        <w:jc w:val="both"/>
        <w:rPr>
          <w:rFonts w:ascii="Arial" w:hAnsi="Arial" w:cs="Arial"/>
          <w:sz w:val="24"/>
        </w:rPr>
      </w:pPr>
    </w:p>
    <w:tbl>
      <w:tblPr>
        <w:tblStyle w:val="TableGrid15"/>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AC2A9D" w:rsidRPr="00AC2A9D" w:rsidTr="00575030">
        <w:trPr>
          <w:trHeight w:hRule="exact" w:val="288"/>
        </w:trPr>
        <w:tc>
          <w:tcPr>
            <w:tcW w:w="9558" w:type="dxa"/>
            <w:gridSpan w:val="6"/>
            <w:shd w:val="clear" w:color="auto" w:fill="17365D" w:themeFill="text2" w:themeFillShade="BF"/>
          </w:tcPr>
          <w:p w:rsidR="00AC2A9D" w:rsidRPr="00AC2A9D" w:rsidRDefault="00AC2A9D" w:rsidP="00561F8E">
            <w:pPr>
              <w:pStyle w:val="Heading4"/>
              <w:spacing w:before="0"/>
              <w:outlineLvl w:val="3"/>
            </w:pPr>
            <w:r w:rsidRPr="00561F8E">
              <w:rPr>
                <w:color w:val="FFFFFF" w:themeColor="background1"/>
                <w:sz w:val="28"/>
              </w:rPr>
              <w:t>2.0  Scope of Services</w:t>
            </w:r>
          </w:p>
        </w:tc>
      </w:tr>
      <w:tr w:rsidR="00AC2A9D" w:rsidRPr="00AC2A9D" w:rsidTr="00575030">
        <w:trPr>
          <w:trHeight w:hRule="exact" w:val="288"/>
        </w:trPr>
        <w:tc>
          <w:tcPr>
            <w:tcW w:w="720" w:type="dxa"/>
          </w:tcPr>
          <w:p w:rsidR="00AC2A9D" w:rsidRPr="00AC2A9D" w:rsidRDefault="00AC2A9D" w:rsidP="00AC2A9D">
            <w:pPr>
              <w:rPr>
                <w:rFonts w:cs="Arial"/>
              </w:rPr>
            </w:pPr>
          </w:p>
        </w:tc>
        <w:tc>
          <w:tcPr>
            <w:tcW w:w="4176" w:type="dxa"/>
            <w:gridSpan w:val="2"/>
          </w:tcPr>
          <w:p w:rsidR="00AC2A9D" w:rsidRPr="00AC2A9D" w:rsidRDefault="00AC2A9D" w:rsidP="00AC2A9D">
            <w:pPr>
              <w:rPr>
                <w:rFonts w:cs="Arial"/>
              </w:rPr>
            </w:pPr>
          </w:p>
        </w:tc>
        <w:tc>
          <w:tcPr>
            <w:tcW w:w="720" w:type="dxa"/>
            <w:gridSpan w:val="2"/>
          </w:tcPr>
          <w:p w:rsidR="00AC2A9D" w:rsidRPr="00AC2A9D" w:rsidRDefault="00AC2A9D" w:rsidP="00AC2A9D">
            <w:pPr>
              <w:rPr>
                <w:rFonts w:cs="Arial"/>
              </w:rPr>
            </w:pPr>
          </w:p>
        </w:tc>
        <w:tc>
          <w:tcPr>
            <w:tcW w:w="3942" w:type="dxa"/>
          </w:tcPr>
          <w:p w:rsidR="00AC2A9D" w:rsidRPr="00AC2A9D" w:rsidRDefault="00AC2A9D" w:rsidP="00AC2A9D">
            <w:pPr>
              <w:rPr>
                <w:rFonts w:cs="Arial"/>
              </w:rPr>
            </w:pPr>
          </w:p>
        </w:tc>
      </w:tr>
      <w:tr w:rsidR="00AC2A9D" w:rsidRPr="00AC2A9D" w:rsidTr="00575030">
        <w:trPr>
          <w:trHeight w:hRule="exact" w:val="288"/>
        </w:trPr>
        <w:tc>
          <w:tcPr>
            <w:tcW w:w="4896" w:type="dxa"/>
            <w:gridSpan w:val="3"/>
            <w:tcBorders>
              <w:bottom w:val="single" w:sz="12" w:space="0" w:color="17365D" w:themeColor="text2" w:themeShade="BF"/>
              <w:right w:val="single" w:sz="12" w:space="0" w:color="17365D" w:themeColor="text2" w:themeShade="BF"/>
            </w:tcBorders>
            <w:vAlign w:val="center"/>
          </w:tcPr>
          <w:p w:rsidR="00AC2A9D" w:rsidRPr="00561F8E" w:rsidRDefault="00AC2A9D" w:rsidP="00AC2A9D">
            <w:pPr>
              <w:jc w:val="center"/>
              <w:rPr>
                <w:rStyle w:val="BookTitle"/>
              </w:rPr>
            </w:pPr>
            <w:r w:rsidRPr="00561F8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AC2A9D" w:rsidRPr="00561F8E" w:rsidRDefault="00AC2A9D" w:rsidP="00AC2A9D">
            <w:pPr>
              <w:jc w:val="center"/>
              <w:rPr>
                <w:rStyle w:val="BookTitle"/>
              </w:rPr>
            </w:pPr>
            <w:r w:rsidRPr="00561F8E">
              <w:rPr>
                <w:rStyle w:val="BookTitle"/>
              </w:rPr>
              <w:t>Measures</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561F8E">
            <w:pPr>
              <w:rPr>
                <w:rFonts w:cs="Arial"/>
                <w:szCs w:val="24"/>
              </w:rPr>
            </w:pPr>
            <w:r w:rsidRPr="00561F8E">
              <w:rPr>
                <w:rFonts w:cs="Arial"/>
                <w:szCs w:val="24"/>
              </w:rPr>
              <w:t>Outpatient Substance Abuse services include the following:</w:t>
            </w:r>
          </w:p>
          <w:p w:rsidR="00AC2A9D" w:rsidRPr="00561F8E" w:rsidRDefault="00575030" w:rsidP="001B1B43">
            <w:pPr>
              <w:pStyle w:val="ListParagraph"/>
              <w:numPr>
                <w:ilvl w:val="0"/>
                <w:numId w:val="72"/>
              </w:numPr>
              <w:rPr>
                <w:rFonts w:cs="Arial"/>
                <w:szCs w:val="24"/>
              </w:rPr>
            </w:pPr>
            <w:r w:rsidRPr="00561F8E">
              <w:rPr>
                <w:szCs w:val="24"/>
              </w:rPr>
              <w:t>Biopsychosocial assessments;</w:t>
            </w:r>
          </w:p>
          <w:p w:rsidR="00AC2A9D" w:rsidRPr="00561F8E" w:rsidRDefault="00575030" w:rsidP="001B1B43">
            <w:pPr>
              <w:pStyle w:val="ListParagraph"/>
              <w:numPr>
                <w:ilvl w:val="0"/>
                <w:numId w:val="72"/>
              </w:numPr>
              <w:rPr>
                <w:rFonts w:cs="Arial"/>
                <w:szCs w:val="24"/>
              </w:rPr>
            </w:pPr>
            <w:r w:rsidRPr="00561F8E">
              <w:rPr>
                <w:rFonts w:cs="Arial"/>
                <w:szCs w:val="24"/>
              </w:rPr>
              <w:t>Treatment plan development;</w:t>
            </w:r>
          </w:p>
          <w:p w:rsidR="00AC2A9D" w:rsidRPr="00561F8E" w:rsidRDefault="00575030" w:rsidP="001B1B43">
            <w:pPr>
              <w:pStyle w:val="ListParagraph"/>
              <w:numPr>
                <w:ilvl w:val="0"/>
                <w:numId w:val="72"/>
              </w:numPr>
              <w:rPr>
                <w:rFonts w:cs="Arial"/>
                <w:szCs w:val="24"/>
              </w:rPr>
            </w:pPr>
            <w:r w:rsidRPr="00561F8E">
              <w:rPr>
                <w:rFonts w:cs="Arial"/>
                <w:szCs w:val="24"/>
              </w:rPr>
              <w:t>Treatment plan/ review;</w:t>
            </w:r>
          </w:p>
          <w:p w:rsidR="00AC2A9D" w:rsidRPr="00561F8E" w:rsidRDefault="00575030" w:rsidP="001B1B43">
            <w:pPr>
              <w:pStyle w:val="ListParagraph"/>
              <w:numPr>
                <w:ilvl w:val="0"/>
                <w:numId w:val="72"/>
              </w:numPr>
              <w:rPr>
                <w:rFonts w:cs="Arial"/>
                <w:szCs w:val="24"/>
              </w:rPr>
            </w:pPr>
            <w:r w:rsidRPr="00561F8E">
              <w:rPr>
                <w:szCs w:val="24"/>
              </w:rPr>
              <w:t>Urine drug screening;</w:t>
            </w:r>
          </w:p>
          <w:p w:rsidR="00AC2A9D" w:rsidRPr="00561F8E" w:rsidRDefault="00575030" w:rsidP="001B1B43">
            <w:pPr>
              <w:pStyle w:val="ListParagraph"/>
              <w:numPr>
                <w:ilvl w:val="0"/>
                <w:numId w:val="72"/>
              </w:numPr>
              <w:rPr>
                <w:rFonts w:cs="Arial"/>
                <w:szCs w:val="24"/>
              </w:rPr>
            </w:pPr>
            <w:r w:rsidRPr="00561F8E">
              <w:rPr>
                <w:szCs w:val="24"/>
              </w:rPr>
              <w:t>Psychotherapeutic treatment to include:</w:t>
            </w:r>
          </w:p>
          <w:p w:rsidR="00AC2A9D" w:rsidRPr="00561F8E" w:rsidRDefault="00575030" w:rsidP="001B1B43">
            <w:pPr>
              <w:pStyle w:val="ListParagraph"/>
              <w:numPr>
                <w:ilvl w:val="1"/>
                <w:numId w:val="72"/>
              </w:numPr>
              <w:rPr>
                <w:rFonts w:cs="Arial"/>
                <w:szCs w:val="24"/>
              </w:rPr>
            </w:pPr>
            <w:r w:rsidRPr="00561F8E">
              <w:rPr>
                <w:rFonts w:cs="Arial"/>
                <w:szCs w:val="24"/>
              </w:rPr>
              <w:t>Individual sessions,</w:t>
            </w:r>
          </w:p>
          <w:p w:rsidR="00AC2A9D" w:rsidRPr="00561F8E" w:rsidRDefault="00575030" w:rsidP="001B1B43">
            <w:pPr>
              <w:pStyle w:val="ListParagraph"/>
              <w:numPr>
                <w:ilvl w:val="1"/>
                <w:numId w:val="72"/>
              </w:numPr>
              <w:rPr>
                <w:rFonts w:cs="Arial"/>
                <w:szCs w:val="24"/>
              </w:rPr>
            </w:pPr>
            <w:r w:rsidRPr="00561F8E">
              <w:rPr>
                <w:rFonts w:cs="Arial"/>
                <w:szCs w:val="24"/>
              </w:rPr>
              <w:t>Group sessions, and</w:t>
            </w:r>
          </w:p>
          <w:p w:rsidR="00AC2A9D" w:rsidRPr="00561F8E" w:rsidRDefault="00575030" w:rsidP="001B1B43">
            <w:pPr>
              <w:pStyle w:val="ListParagraph"/>
              <w:numPr>
                <w:ilvl w:val="1"/>
                <w:numId w:val="72"/>
              </w:numPr>
              <w:rPr>
                <w:rFonts w:cs="Arial"/>
                <w:szCs w:val="24"/>
              </w:rPr>
            </w:pPr>
            <w:r w:rsidRPr="00561F8E">
              <w:rPr>
                <w:rFonts w:cs="Arial"/>
                <w:szCs w:val="24"/>
              </w:rPr>
              <w:t>Case consultations;</w:t>
            </w:r>
          </w:p>
          <w:p w:rsidR="00AC2A9D" w:rsidRPr="00561F8E" w:rsidRDefault="00575030" w:rsidP="001B1B43">
            <w:pPr>
              <w:pStyle w:val="ListParagraph"/>
              <w:numPr>
                <w:ilvl w:val="0"/>
                <w:numId w:val="72"/>
              </w:numPr>
              <w:rPr>
                <w:rFonts w:cs="Arial"/>
                <w:szCs w:val="24"/>
              </w:rPr>
            </w:pPr>
            <w:r w:rsidRPr="00561F8E">
              <w:rPr>
                <w:rFonts w:cs="Arial"/>
                <w:szCs w:val="24"/>
              </w:rPr>
              <w:t>Crisis intervention;</w:t>
            </w:r>
          </w:p>
          <w:p w:rsidR="00AC2A9D" w:rsidRPr="00561F8E" w:rsidRDefault="00575030" w:rsidP="001B1B43">
            <w:pPr>
              <w:pStyle w:val="ListParagraph"/>
              <w:numPr>
                <w:ilvl w:val="0"/>
                <w:numId w:val="72"/>
              </w:numPr>
              <w:rPr>
                <w:rFonts w:cs="Arial"/>
                <w:szCs w:val="24"/>
              </w:rPr>
            </w:pPr>
            <w:r w:rsidRPr="00561F8E">
              <w:rPr>
                <w:szCs w:val="24"/>
              </w:rPr>
              <w:t>Referral for psychiatric assessment and treatment; and,</w:t>
            </w:r>
          </w:p>
          <w:p w:rsidR="00AC2A9D" w:rsidRPr="00561F8E" w:rsidRDefault="00AC2A9D" w:rsidP="001B1B43">
            <w:pPr>
              <w:pStyle w:val="ListParagraph"/>
              <w:numPr>
                <w:ilvl w:val="0"/>
                <w:numId w:val="72"/>
              </w:numPr>
              <w:rPr>
                <w:rFonts w:cs="Arial"/>
                <w:szCs w:val="24"/>
              </w:rPr>
            </w:pPr>
            <w:r w:rsidRPr="00561F8E">
              <w:rPr>
                <w:rFonts w:cs="Arial"/>
                <w:szCs w:val="24"/>
              </w:rPr>
              <w:t>Other services as deemed clinically appropriate.</w:t>
            </w:r>
            <w:r w:rsidRPr="00561F8E">
              <w:rPr>
                <w:szCs w:val="24"/>
              </w:rPr>
              <w:t xml:space="preserve"> </w:t>
            </w:r>
          </w:p>
          <w:p w:rsidR="00575030" w:rsidRPr="00561F8E" w:rsidRDefault="00575030" w:rsidP="00561F8E">
            <w:pPr>
              <w:pStyle w:val="ListParagraph"/>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2.1</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Documentation in consumer clinical record</w:t>
            </w:r>
            <w:r w:rsidRPr="00561F8E">
              <w:rPr>
                <w:szCs w:val="24"/>
              </w:rPr>
              <w:t xml:space="preserve"> </w:t>
            </w:r>
          </w:p>
        </w:tc>
      </w:tr>
      <w:tr w:rsidR="00AC2A9D" w:rsidRPr="00AC2A9D" w:rsidTr="00575030">
        <w:trPr>
          <w:trHeight w:val="2049"/>
        </w:trPr>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561F8E">
            <w:pPr>
              <w:contextualSpacing/>
              <w:rPr>
                <w:rFonts w:cs="Arial"/>
                <w:szCs w:val="24"/>
              </w:rPr>
            </w:pPr>
            <w:r w:rsidRPr="00561F8E">
              <w:rPr>
                <w:rFonts w:cs="Arial"/>
                <w:szCs w:val="24"/>
              </w:rPr>
              <w:t>Biopsychosocial assessment should be completed within two visits, but no longer than 30 days. Biopsychosocial assessment will include at a minimum:</w:t>
            </w:r>
          </w:p>
          <w:p w:rsidR="00AC2A9D" w:rsidRPr="00561F8E" w:rsidRDefault="00AC2A9D" w:rsidP="001B1B43">
            <w:pPr>
              <w:pStyle w:val="ListParagraph"/>
              <w:numPr>
                <w:ilvl w:val="0"/>
                <w:numId w:val="73"/>
              </w:numPr>
              <w:rPr>
                <w:rFonts w:cs="Arial"/>
                <w:szCs w:val="24"/>
              </w:rPr>
            </w:pPr>
            <w:r w:rsidRPr="00561F8E">
              <w:rPr>
                <w:szCs w:val="24"/>
              </w:rPr>
              <w:t>Presenting problem</w:t>
            </w:r>
          </w:p>
          <w:p w:rsidR="00AC2A9D" w:rsidRPr="00561F8E" w:rsidRDefault="00AC2A9D" w:rsidP="001B1B43">
            <w:pPr>
              <w:pStyle w:val="ListParagraph"/>
              <w:numPr>
                <w:ilvl w:val="0"/>
                <w:numId w:val="73"/>
              </w:numPr>
              <w:rPr>
                <w:rFonts w:cs="Arial"/>
                <w:szCs w:val="24"/>
              </w:rPr>
            </w:pPr>
            <w:r w:rsidRPr="00561F8E">
              <w:rPr>
                <w:rFonts w:cs="Arial"/>
                <w:szCs w:val="24"/>
              </w:rPr>
              <w:t>History of the presenting illness or problem</w:t>
            </w:r>
          </w:p>
          <w:p w:rsidR="00AC2A9D" w:rsidRPr="00561F8E" w:rsidRDefault="00AC2A9D" w:rsidP="001B1B43">
            <w:pPr>
              <w:pStyle w:val="ListParagraph"/>
              <w:numPr>
                <w:ilvl w:val="0"/>
                <w:numId w:val="73"/>
              </w:numPr>
              <w:rPr>
                <w:rFonts w:cs="Arial"/>
                <w:szCs w:val="24"/>
              </w:rPr>
            </w:pPr>
            <w:r w:rsidRPr="00561F8E">
              <w:rPr>
                <w:rFonts w:cs="Arial"/>
                <w:szCs w:val="24"/>
              </w:rPr>
              <w:t>Psychiatric history;</w:t>
            </w:r>
          </w:p>
          <w:p w:rsidR="00AC2A9D" w:rsidRPr="00561F8E" w:rsidRDefault="00AC2A9D" w:rsidP="001B1B43">
            <w:pPr>
              <w:pStyle w:val="ListParagraph"/>
              <w:numPr>
                <w:ilvl w:val="0"/>
                <w:numId w:val="73"/>
              </w:numPr>
              <w:rPr>
                <w:rFonts w:cs="Arial"/>
                <w:szCs w:val="24"/>
              </w:rPr>
            </w:pPr>
            <w:r w:rsidRPr="00561F8E">
              <w:rPr>
                <w:szCs w:val="24"/>
              </w:rPr>
              <w:t>Trauma history;</w:t>
            </w:r>
          </w:p>
          <w:p w:rsidR="00AC2A9D" w:rsidRPr="00561F8E" w:rsidRDefault="00AC2A9D" w:rsidP="001B1B43">
            <w:pPr>
              <w:pStyle w:val="ListParagraph"/>
              <w:numPr>
                <w:ilvl w:val="0"/>
                <w:numId w:val="73"/>
              </w:numPr>
              <w:rPr>
                <w:rFonts w:cs="Arial"/>
                <w:szCs w:val="24"/>
              </w:rPr>
            </w:pPr>
            <w:r w:rsidRPr="00561F8E">
              <w:rPr>
                <w:szCs w:val="24"/>
              </w:rPr>
              <w:t>Medication history;</w:t>
            </w:r>
          </w:p>
          <w:p w:rsidR="00AC2A9D" w:rsidRPr="00561F8E" w:rsidRDefault="00AC2A9D" w:rsidP="001B1B43">
            <w:pPr>
              <w:pStyle w:val="ListParagraph"/>
              <w:numPr>
                <w:ilvl w:val="0"/>
                <w:numId w:val="73"/>
              </w:numPr>
              <w:rPr>
                <w:rFonts w:cs="Arial"/>
                <w:szCs w:val="24"/>
              </w:rPr>
            </w:pPr>
            <w:r w:rsidRPr="00561F8E">
              <w:rPr>
                <w:szCs w:val="24"/>
              </w:rPr>
              <w:t>Alcohol and other drug use history;</w:t>
            </w:r>
          </w:p>
          <w:p w:rsidR="00AC2A9D" w:rsidRPr="00561F8E" w:rsidRDefault="00AC2A9D" w:rsidP="001B1B43">
            <w:pPr>
              <w:pStyle w:val="ListParagraph"/>
              <w:numPr>
                <w:ilvl w:val="0"/>
                <w:numId w:val="73"/>
              </w:numPr>
              <w:rPr>
                <w:rFonts w:cs="Arial"/>
                <w:szCs w:val="24"/>
              </w:rPr>
            </w:pPr>
            <w:r w:rsidRPr="00561F8E">
              <w:rPr>
                <w:rFonts w:cs="Arial"/>
                <w:szCs w:val="24"/>
              </w:rPr>
              <w:t xml:space="preserve">Relevant personal and family, medical history; </w:t>
            </w:r>
          </w:p>
          <w:p w:rsidR="00AC2A9D" w:rsidRPr="00561F8E" w:rsidRDefault="00AC2A9D" w:rsidP="001B1B43">
            <w:pPr>
              <w:pStyle w:val="ListParagraph"/>
              <w:numPr>
                <w:ilvl w:val="0"/>
                <w:numId w:val="73"/>
              </w:numPr>
              <w:rPr>
                <w:rFonts w:cs="Arial"/>
                <w:szCs w:val="24"/>
              </w:rPr>
            </w:pPr>
            <w:r w:rsidRPr="00561F8E">
              <w:rPr>
                <w:rFonts w:cs="Arial"/>
                <w:szCs w:val="24"/>
              </w:rPr>
              <w:t>Mental health status exam;</w:t>
            </w:r>
          </w:p>
          <w:p w:rsidR="00AC2A9D" w:rsidRPr="00561F8E" w:rsidRDefault="00AC2A9D" w:rsidP="001B1B43">
            <w:pPr>
              <w:pStyle w:val="ListParagraph"/>
              <w:numPr>
                <w:ilvl w:val="0"/>
                <w:numId w:val="73"/>
              </w:numPr>
              <w:rPr>
                <w:rFonts w:cs="Arial"/>
                <w:szCs w:val="24"/>
              </w:rPr>
            </w:pPr>
            <w:r w:rsidRPr="00561F8E">
              <w:rPr>
                <w:szCs w:val="24"/>
              </w:rPr>
              <w:t>Cultural influences;</w:t>
            </w:r>
          </w:p>
          <w:p w:rsidR="00AC2A9D" w:rsidRPr="00561F8E" w:rsidRDefault="00AC2A9D" w:rsidP="001B1B43">
            <w:pPr>
              <w:pStyle w:val="ListParagraph"/>
              <w:numPr>
                <w:ilvl w:val="0"/>
                <w:numId w:val="73"/>
              </w:numPr>
              <w:rPr>
                <w:rFonts w:cs="Arial"/>
                <w:szCs w:val="24"/>
              </w:rPr>
            </w:pPr>
            <w:r w:rsidRPr="00561F8E">
              <w:rPr>
                <w:szCs w:val="24"/>
              </w:rPr>
              <w:lastRenderedPageBreak/>
              <w:t>E</w:t>
            </w:r>
            <w:r w:rsidRPr="00561F8E">
              <w:rPr>
                <w:rFonts w:cs="Arial"/>
                <w:szCs w:val="24"/>
              </w:rPr>
              <w:t>ducational and employment history;</w:t>
            </w:r>
          </w:p>
          <w:p w:rsidR="00AC2A9D" w:rsidRPr="00561F8E" w:rsidRDefault="00AC2A9D" w:rsidP="001B1B43">
            <w:pPr>
              <w:pStyle w:val="ListParagraph"/>
              <w:numPr>
                <w:ilvl w:val="0"/>
                <w:numId w:val="73"/>
              </w:numPr>
              <w:rPr>
                <w:rFonts w:cs="Arial"/>
                <w:szCs w:val="24"/>
              </w:rPr>
            </w:pPr>
            <w:r w:rsidRPr="00561F8E">
              <w:rPr>
                <w:rFonts w:cs="Arial"/>
                <w:szCs w:val="24"/>
              </w:rPr>
              <w:t>Legal history;</w:t>
            </w:r>
          </w:p>
          <w:p w:rsidR="00AC2A9D" w:rsidRPr="00561F8E" w:rsidRDefault="00AC2A9D" w:rsidP="001B1B43">
            <w:pPr>
              <w:pStyle w:val="ListParagraph"/>
              <w:numPr>
                <w:ilvl w:val="0"/>
                <w:numId w:val="73"/>
              </w:numPr>
              <w:rPr>
                <w:rFonts w:cs="Arial"/>
                <w:szCs w:val="24"/>
              </w:rPr>
            </w:pPr>
            <w:r w:rsidRPr="00561F8E">
              <w:rPr>
                <w:rFonts w:cs="Arial"/>
                <w:szCs w:val="24"/>
              </w:rPr>
              <w:t>General and HIV related medical history;</w:t>
            </w:r>
          </w:p>
          <w:p w:rsidR="00AC2A9D" w:rsidRPr="00561F8E" w:rsidRDefault="00AC2A9D" w:rsidP="001B1B43">
            <w:pPr>
              <w:pStyle w:val="ListParagraph"/>
              <w:numPr>
                <w:ilvl w:val="0"/>
                <w:numId w:val="73"/>
              </w:numPr>
              <w:rPr>
                <w:rFonts w:cs="Arial"/>
                <w:szCs w:val="24"/>
              </w:rPr>
            </w:pPr>
            <w:r w:rsidRPr="00561F8E">
              <w:rPr>
                <w:rFonts w:cs="Arial"/>
                <w:szCs w:val="24"/>
              </w:rPr>
              <w:t>M</w:t>
            </w:r>
            <w:r w:rsidRPr="00561F8E">
              <w:rPr>
                <w:szCs w:val="24"/>
              </w:rPr>
              <w:t>edication adherence;</w:t>
            </w:r>
          </w:p>
          <w:p w:rsidR="00AC2A9D" w:rsidRPr="00561F8E" w:rsidRDefault="00AC2A9D" w:rsidP="001B1B43">
            <w:pPr>
              <w:pStyle w:val="ListParagraph"/>
              <w:numPr>
                <w:ilvl w:val="0"/>
                <w:numId w:val="73"/>
              </w:numPr>
              <w:rPr>
                <w:rFonts w:cs="Arial"/>
                <w:szCs w:val="24"/>
              </w:rPr>
            </w:pPr>
            <w:r w:rsidRPr="00561F8E">
              <w:rPr>
                <w:szCs w:val="24"/>
              </w:rPr>
              <w:t>HIV risk behavior and harm reduction;</w:t>
            </w:r>
          </w:p>
          <w:p w:rsidR="00AC2A9D" w:rsidRPr="00561F8E" w:rsidRDefault="00AC2A9D" w:rsidP="001B1B43">
            <w:pPr>
              <w:pStyle w:val="ListParagraph"/>
              <w:numPr>
                <w:ilvl w:val="0"/>
                <w:numId w:val="73"/>
              </w:numPr>
              <w:rPr>
                <w:rFonts w:cs="Arial"/>
                <w:szCs w:val="24"/>
              </w:rPr>
            </w:pPr>
            <w:r w:rsidRPr="00561F8E">
              <w:rPr>
                <w:szCs w:val="24"/>
              </w:rPr>
              <w:t>Summary of findings;</w:t>
            </w:r>
          </w:p>
          <w:p w:rsidR="00AC2A9D" w:rsidRPr="00561F8E" w:rsidRDefault="00AC2A9D" w:rsidP="001B1B43">
            <w:pPr>
              <w:pStyle w:val="ListParagraph"/>
              <w:numPr>
                <w:ilvl w:val="0"/>
                <w:numId w:val="73"/>
              </w:numPr>
              <w:rPr>
                <w:rFonts w:cs="Arial"/>
                <w:szCs w:val="24"/>
              </w:rPr>
            </w:pPr>
            <w:r w:rsidRPr="00561F8E">
              <w:rPr>
                <w:szCs w:val="24"/>
              </w:rPr>
              <w:t>Diagnostic formulation;</w:t>
            </w:r>
          </w:p>
          <w:p w:rsidR="00AC2A9D" w:rsidRPr="00561F8E" w:rsidRDefault="00AC2A9D" w:rsidP="001B1B43">
            <w:pPr>
              <w:pStyle w:val="ListParagraph"/>
              <w:numPr>
                <w:ilvl w:val="0"/>
                <w:numId w:val="73"/>
              </w:numPr>
              <w:rPr>
                <w:rFonts w:cs="Arial"/>
                <w:szCs w:val="24"/>
              </w:rPr>
            </w:pPr>
            <w:r w:rsidRPr="00561F8E">
              <w:rPr>
                <w:szCs w:val="24"/>
              </w:rPr>
              <w:t>Current risk of danger to self and others;</w:t>
            </w:r>
          </w:p>
          <w:p w:rsidR="00AC2A9D" w:rsidRPr="00561F8E" w:rsidRDefault="00AC2A9D" w:rsidP="001B1B43">
            <w:pPr>
              <w:pStyle w:val="ListParagraph"/>
              <w:numPr>
                <w:ilvl w:val="0"/>
                <w:numId w:val="73"/>
              </w:numPr>
              <w:rPr>
                <w:rFonts w:cs="Arial"/>
                <w:szCs w:val="24"/>
              </w:rPr>
            </w:pPr>
            <w:r w:rsidRPr="00561F8E">
              <w:rPr>
                <w:rFonts w:cs="Arial"/>
                <w:szCs w:val="24"/>
              </w:rPr>
              <w:t>Social support and functioning, including client strengths/weaknesses, coping mechanisms and self-help strategies;</w:t>
            </w:r>
          </w:p>
          <w:p w:rsidR="00AC2A9D" w:rsidRPr="00561F8E" w:rsidRDefault="00AC2A9D" w:rsidP="001B1B43">
            <w:pPr>
              <w:pStyle w:val="ListParagraph"/>
              <w:numPr>
                <w:ilvl w:val="0"/>
                <w:numId w:val="73"/>
              </w:numPr>
              <w:rPr>
                <w:rFonts w:cs="Arial"/>
                <w:szCs w:val="24"/>
              </w:rPr>
            </w:pPr>
            <w:r w:rsidRPr="00561F8E">
              <w:rPr>
                <w:szCs w:val="24"/>
              </w:rPr>
              <w:t>Domestic violence/abuse history; and,</w:t>
            </w:r>
          </w:p>
          <w:p w:rsidR="00AC2A9D" w:rsidRPr="00561F8E" w:rsidRDefault="00AC2A9D" w:rsidP="001B1B43">
            <w:pPr>
              <w:pStyle w:val="ListParagraph"/>
              <w:numPr>
                <w:ilvl w:val="0"/>
                <w:numId w:val="73"/>
              </w:numPr>
              <w:rPr>
                <w:rFonts w:cs="Arial"/>
                <w:szCs w:val="24"/>
              </w:rPr>
            </w:pPr>
            <w:r w:rsidRPr="00561F8E">
              <w:rPr>
                <w:szCs w:val="24"/>
              </w:rPr>
              <w:t>Treatment recommendations or plan.</w:t>
            </w:r>
          </w:p>
          <w:p w:rsidR="00AC2A9D" w:rsidRPr="00561F8E" w:rsidRDefault="00AC2A9D" w:rsidP="00561F8E">
            <w:pPr>
              <w:rPr>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lastRenderedPageBreak/>
              <w:t>2.2</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 xml:space="preserve">Completed assessment, signed and dated in consumer clinical record.  </w:t>
            </w:r>
          </w:p>
          <w:p w:rsidR="00AC2A9D" w:rsidRPr="00561F8E" w:rsidRDefault="00AC2A9D" w:rsidP="00561F8E">
            <w:pPr>
              <w:rPr>
                <w:rFonts w:cs="Arial"/>
                <w:szCs w:val="24"/>
              </w:rPr>
            </w:pPr>
          </w:p>
          <w:p w:rsidR="00AC2A9D" w:rsidRPr="00561F8E" w:rsidRDefault="00AC2A9D" w:rsidP="00561F8E">
            <w:pPr>
              <w:rPr>
                <w:rFonts w:cs="Arial"/>
                <w:szCs w:val="24"/>
              </w:rPr>
            </w:pPr>
            <w:r w:rsidRPr="00561F8E">
              <w:rPr>
                <w:rFonts w:cs="Arial"/>
                <w:szCs w:val="24"/>
              </w:rPr>
              <w:t xml:space="preserve">If assessment is not completed in 30 days, reason for delay to be documented in progress notes. </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lastRenderedPageBreak/>
              <w:t xml:space="preserve">2.3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561F8E">
            <w:pPr>
              <w:contextualSpacing/>
              <w:rPr>
                <w:rFonts w:cs="Arial"/>
                <w:szCs w:val="24"/>
              </w:rPr>
            </w:pPr>
            <w:r w:rsidRPr="00561F8E">
              <w:rPr>
                <w:rFonts w:cs="Arial"/>
                <w:szCs w:val="24"/>
              </w:rPr>
              <w:t>A Biopsychosocial update is ongoing and driven by the consumer’s needs, when their status has changed significantly, or when the consumer has left and re-entered treatment. A Biopsychosocial update is required to be completed at a minimum of once every six (6) months.</w:t>
            </w:r>
          </w:p>
          <w:p w:rsidR="00575030" w:rsidRPr="00561F8E" w:rsidRDefault="00575030" w:rsidP="00561F8E">
            <w:pPr>
              <w:contextualSpacing/>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2.3</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Progress notes or new assessment demonstrating update in consumer clinical record.</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561F8E">
            <w:pPr>
              <w:rPr>
                <w:rFonts w:cs="Arial"/>
                <w:szCs w:val="24"/>
              </w:rPr>
            </w:pPr>
            <w:r w:rsidRPr="00561F8E">
              <w:rPr>
                <w:rFonts w:cs="Arial"/>
                <w:szCs w:val="24"/>
              </w:rPr>
              <w:t>Assessments and updates completed by unlicensed providers shall be co-signed by licensed clinical supervisor.</w:t>
            </w:r>
          </w:p>
          <w:p w:rsidR="00575030" w:rsidRPr="00561F8E" w:rsidRDefault="00575030" w:rsidP="00561F8E">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2.4</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contextualSpacing/>
              <w:rPr>
                <w:rFonts w:cs="Arial"/>
                <w:szCs w:val="24"/>
              </w:rPr>
            </w:pPr>
            <w:r w:rsidRPr="00561F8E">
              <w:rPr>
                <w:rFonts w:cs="Arial"/>
                <w:szCs w:val="24"/>
              </w:rPr>
              <w:t>Co-signature on file in consumer clinical record.</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561F8E">
            <w:pPr>
              <w:contextualSpacing/>
              <w:rPr>
                <w:rFonts w:cs="Arial"/>
                <w:szCs w:val="24"/>
              </w:rPr>
            </w:pPr>
            <w:r w:rsidRPr="00561F8E">
              <w:rPr>
                <w:rFonts w:cs="Arial"/>
                <w:szCs w:val="24"/>
              </w:rPr>
              <w:t>All consumers must have been under the care of a physician within the past twelve (12) months. Consumers out of care must be referred for medical care within 10 business days.</w:t>
            </w:r>
          </w:p>
          <w:p w:rsidR="00575030" w:rsidRPr="00561F8E" w:rsidRDefault="00575030" w:rsidP="00561F8E">
            <w:pPr>
              <w:contextualSpacing/>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2.5</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 xml:space="preserve">Documentation in consumer </w:t>
            </w:r>
            <w:r w:rsidR="00561F8E" w:rsidRPr="00561F8E">
              <w:rPr>
                <w:rFonts w:cs="Arial"/>
                <w:szCs w:val="24"/>
              </w:rPr>
              <w:t>files</w:t>
            </w:r>
            <w:r w:rsidRPr="00561F8E">
              <w:rPr>
                <w:rFonts w:cs="Arial"/>
                <w:szCs w:val="24"/>
              </w:rPr>
              <w:t xml:space="preserve"> of receiving medical care in past year or current referral.</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561F8E">
            <w:pPr>
              <w:rPr>
                <w:rFonts w:cs="Arial"/>
                <w:szCs w:val="24"/>
              </w:rPr>
            </w:pPr>
            <w:r w:rsidRPr="00561F8E">
              <w:rPr>
                <w:rFonts w:cs="Arial"/>
                <w:szCs w:val="24"/>
              </w:rPr>
              <w:t xml:space="preserve">Each consumer shall have an </w:t>
            </w:r>
            <w:r w:rsidRPr="00561F8E">
              <w:rPr>
                <w:rFonts w:cs="Arial"/>
                <w:szCs w:val="24"/>
              </w:rPr>
              <w:lastRenderedPageBreak/>
              <w:t>individualized treatment plan that is jointly developed by the consumer and the therapist. The treatment plan must be consumer-centered and consistent with the consumer’s identified strengths, abilities, needs and preferences.</w:t>
            </w:r>
          </w:p>
          <w:p w:rsidR="00AC2A9D" w:rsidRPr="00561F8E" w:rsidRDefault="00AC2A9D" w:rsidP="00561F8E">
            <w:pPr>
              <w:rPr>
                <w:rFonts w:cs="Arial"/>
                <w:szCs w:val="24"/>
              </w:rPr>
            </w:pPr>
          </w:p>
          <w:p w:rsidR="00AC2A9D" w:rsidRPr="00561F8E" w:rsidRDefault="00AC2A9D" w:rsidP="00561F8E">
            <w:pPr>
              <w:rPr>
                <w:rFonts w:cs="Arial"/>
                <w:szCs w:val="24"/>
              </w:rPr>
            </w:pPr>
            <w:r w:rsidRPr="00561F8E">
              <w:rPr>
                <w:rFonts w:cs="Arial"/>
                <w:szCs w:val="24"/>
              </w:rPr>
              <w:t>If the consumer is under the age of 18 years, the consumer’s parent, guardian, or legal custodian shall be included in the development of the individualized treatment plan.</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lastRenderedPageBreak/>
              <w:t>2.6</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 xml:space="preserve">The treatment plan contained in </w:t>
            </w:r>
            <w:r w:rsidRPr="00561F8E">
              <w:rPr>
                <w:rFonts w:cs="Arial"/>
                <w:szCs w:val="24"/>
              </w:rPr>
              <w:lastRenderedPageBreak/>
              <w:t>the consumer’s clinical record shall reflect the consumer’s or his/her legal representative’s signature as well as the therapist’s signature.</w:t>
            </w:r>
          </w:p>
          <w:p w:rsidR="00AC2A9D" w:rsidRPr="00561F8E" w:rsidRDefault="00AC2A9D" w:rsidP="00561F8E">
            <w:pPr>
              <w:rPr>
                <w:rFonts w:cs="Arial"/>
                <w:szCs w:val="24"/>
              </w:rPr>
            </w:pPr>
            <w:r w:rsidRPr="00561F8E">
              <w:rPr>
                <w:rFonts w:cs="Arial"/>
                <w:szCs w:val="24"/>
              </w:rPr>
              <w:t>If the consumer’s age or clinical condition precludes participation in the development of the treatment, an explanation must be provided on the treatment plan.</w:t>
            </w:r>
          </w:p>
          <w:p w:rsidR="00575030" w:rsidRDefault="00AC2A9D" w:rsidP="00561F8E">
            <w:pPr>
              <w:rPr>
                <w:rFonts w:cs="Arial"/>
                <w:szCs w:val="24"/>
              </w:rPr>
            </w:pPr>
            <w:r w:rsidRPr="00561F8E">
              <w:rPr>
                <w:rFonts w:cs="Arial"/>
                <w:szCs w:val="24"/>
              </w:rPr>
              <w:t>If a treatment plan for a consumer under the age of 18 years does not include the consumer’s parent, guardian, or legal custodian’s signature by reason of a situation of exception, documentation and justification of the exception must be provided.</w:t>
            </w:r>
          </w:p>
          <w:p w:rsidR="00561F8E" w:rsidRPr="00561F8E" w:rsidRDefault="00561F8E" w:rsidP="00561F8E">
            <w:pPr>
              <w:rPr>
                <w:rFonts w:cs="Arial"/>
                <w:szCs w:val="24"/>
              </w:rPr>
            </w:pP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lastRenderedPageBreak/>
              <w:t>2.7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561F8E">
            <w:pPr>
              <w:rPr>
                <w:rFonts w:cs="Arial"/>
                <w:szCs w:val="24"/>
              </w:rPr>
            </w:pPr>
            <w:r w:rsidRPr="00561F8E">
              <w:rPr>
                <w:rFonts w:cs="Arial"/>
                <w:szCs w:val="24"/>
              </w:rPr>
              <w:t>The treatment plan shall contain all of the following components:</w:t>
            </w:r>
          </w:p>
          <w:p w:rsidR="00AC2A9D" w:rsidRPr="00561F8E" w:rsidRDefault="00AC2A9D" w:rsidP="001B1B43">
            <w:pPr>
              <w:pStyle w:val="ListParagraph"/>
              <w:numPr>
                <w:ilvl w:val="0"/>
                <w:numId w:val="74"/>
              </w:numPr>
              <w:rPr>
                <w:rFonts w:cs="Arial"/>
                <w:szCs w:val="24"/>
              </w:rPr>
            </w:pPr>
            <w:r w:rsidRPr="00561F8E">
              <w:rPr>
                <w:szCs w:val="24"/>
              </w:rPr>
              <w:t>The consumer’s diagnosis code (s) consistent with assessment(s)</w:t>
            </w:r>
          </w:p>
          <w:p w:rsidR="00AC2A9D" w:rsidRPr="00561F8E" w:rsidRDefault="00AC2A9D" w:rsidP="001B1B43">
            <w:pPr>
              <w:pStyle w:val="ListParagraph"/>
              <w:numPr>
                <w:ilvl w:val="0"/>
                <w:numId w:val="74"/>
              </w:numPr>
              <w:rPr>
                <w:rFonts w:cs="Arial"/>
                <w:szCs w:val="24"/>
              </w:rPr>
            </w:pPr>
            <w:r w:rsidRPr="00561F8E">
              <w:rPr>
                <w:rFonts w:cs="Arial"/>
                <w:szCs w:val="24"/>
              </w:rPr>
              <w:t>Goals that are individualized, strength-based, and appropriate to the consumer’s diagnosis, age, culture, strengths, abilities, preferences, and needs, and expressed by the consumer</w:t>
            </w:r>
          </w:p>
          <w:p w:rsidR="00AC2A9D" w:rsidRPr="00561F8E" w:rsidRDefault="00AC2A9D" w:rsidP="001B1B43">
            <w:pPr>
              <w:pStyle w:val="ListParagraph"/>
              <w:numPr>
                <w:ilvl w:val="0"/>
                <w:numId w:val="74"/>
              </w:numPr>
              <w:rPr>
                <w:rFonts w:cs="Arial"/>
                <w:szCs w:val="24"/>
              </w:rPr>
            </w:pPr>
            <w:r w:rsidRPr="00561F8E">
              <w:rPr>
                <w:szCs w:val="24"/>
              </w:rPr>
              <w:t>Measureable objectives with target completion dates that are identified for each goal</w:t>
            </w:r>
          </w:p>
          <w:p w:rsidR="00AC2A9D" w:rsidRPr="00561F8E" w:rsidRDefault="00AC2A9D" w:rsidP="001B1B43">
            <w:pPr>
              <w:pStyle w:val="ListParagraph"/>
              <w:numPr>
                <w:ilvl w:val="0"/>
                <w:numId w:val="74"/>
              </w:numPr>
              <w:rPr>
                <w:rFonts w:cs="Arial"/>
                <w:szCs w:val="24"/>
              </w:rPr>
            </w:pPr>
            <w:r w:rsidRPr="00561F8E">
              <w:rPr>
                <w:szCs w:val="24"/>
              </w:rPr>
              <w:t>A list of the services to be provided (treatment plan development, treatment plan review, and evaluation or assessment services provided to establish diagnosis and to gather information for the development of the treatment plan need to be listed)</w:t>
            </w:r>
          </w:p>
          <w:p w:rsidR="00AC2A9D" w:rsidRPr="00561F8E" w:rsidRDefault="00AC2A9D" w:rsidP="001B1B43">
            <w:pPr>
              <w:pStyle w:val="ListParagraph"/>
              <w:numPr>
                <w:ilvl w:val="0"/>
                <w:numId w:val="74"/>
              </w:numPr>
              <w:rPr>
                <w:rFonts w:cs="Arial"/>
                <w:szCs w:val="24"/>
              </w:rPr>
            </w:pPr>
            <w:r w:rsidRPr="00561F8E">
              <w:rPr>
                <w:szCs w:val="24"/>
              </w:rPr>
              <w:t xml:space="preserve">The amount, frequency, and duration of each service for the six month duration of the </w:t>
            </w:r>
            <w:r w:rsidRPr="00561F8E">
              <w:rPr>
                <w:szCs w:val="24"/>
              </w:rPr>
              <w:lastRenderedPageBreak/>
              <w:t>treatment plan (e.g., four units of therapeutic behavioral on-site services two days per week for six months). It is not permissible to use “as needed”, “p.r.n” or to state that the consumer will receive a service “x to y times per week”</w:t>
            </w:r>
          </w:p>
          <w:p w:rsidR="00575030" w:rsidRPr="00561F8E" w:rsidRDefault="00575030" w:rsidP="00561F8E">
            <w:pPr>
              <w:pStyle w:val="ListParagraph"/>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lastRenderedPageBreak/>
              <w:t>2.7</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The treatment plan in the consumer’s clinical record reflects all required components.</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lastRenderedPageBreak/>
              <w:t>2.8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561F8E">
            <w:pPr>
              <w:rPr>
                <w:rFonts w:cs="Arial"/>
                <w:szCs w:val="24"/>
              </w:rPr>
            </w:pPr>
            <w:r w:rsidRPr="00561F8E">
              <w:rPr>
                <w:rFonts w:cs="Arial"/>
                <w:szCs w:val="24"/>
              </w:rPr>
              <w:t>A formal review of the treatment plan shall be conducted at least every six months. The treatment plan may be reviewed more often than once every six months when significant changes occur and requires the participation of the consumer.</w:t>
            </w:r>
          </w:p>
          <w:p w:rsidR="00575030" w:rsidRPr="00561F8E" w:rsidRDefault="00575030" w:rsidP="00561F8E">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2.8</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Consumer clinical record reflects treatment plan review within the appropriate time frame and documents consumer participation.</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2.9</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561F8E">
            <w:pPr>
              <w:rPr>
                <w:rFonts w:cs="Arial"/>
                <w:szCs w:val="24"/>
              </w:rPr>
            </w:pPr>
            <w:r w:rsidRPr="00561F8E">
              <w:rPr>
                <w:rFonts w:cs="Arial"/>
                <w:szCs w:val="24"/>
              </w:rPr>
              <w:t>Activities, notations of discussions, findings, conclusions, and recommendations shall be documented during the treatment plan review. Any modifications or additions to the treatment plan must be documented based on the results of the review. The treatment plan review shall contain the following components:</w:t>
            </w:r>
          </w:p>
          <w:p w:rsidR="00AC2A9D" w:rsidRPr="00561F8E" w:rsidRDefault="00AC2A9D" w:rsidP="001B1B43">
            <w:pPr>
              <w:pStyle w:val="ListParagraph"/>
              <w:numPr>
                <w:ilvl w:val="0"/>
                <w:numId w:val="75"/>
              </w:numPr>
              <w:rPr>
                <w:szCs w:val="24"/>
              </w:rPr>
            </w:pPr>
            <w:r w:rsidRPr="00561F8E">
              <w:rPr>
                <w:szCs w:val="24"/>
              </w:rPr>
              <w:t>Current diagnosis code(s) and justification for any changes in diagnosis</w:t>
            </w:r>
          </w:p>
          <w:p w:rsidR="00AC2A9D" w:rsidRPr="00561F8E" w:rsidRDefault="00AC2A9D" w:rsidP="001B1B43">
            <w:pPr>
              <w:pStyle w:val="ListParagraph"/>
              <w:numPr>
                <w:ilvl w:val="0"/>
                <w:numId w:val="75"/>
              </w:numPr>
              <w:rPr>
                <w:szCs w:val="24"/>
              </w:rPr>
            </w:pPr>
            <w:r w:rsidRPr="00561F8E">
              <w:rPr>
                <w:szCs w:val="24"/>
              </w:rPr>
              <w:t>Consumer’s progress toward meeting individualized goals and objectives</w:t>
            </w:r>
          </w:p>
          <w:p w:rsidR="00AC2A9D" w:rsidRPr="00561F8E" w:rsidRDefault="00AC2A9D" w:rsidP="001B1B43">
            <w:pPr>
              <w:pStyle w:val="ListParagraph"/>
              <w:numPr>
                <w:ilvl w:val="0"/>
                <w:numId w:val="75"/>
              </w:numPr>
              <w:rPr>
                <w:rFonts w:cs="Arial"/>
                <w:szCs w:val="24"/>
              </w:rPr>
            </w:pPr>
            <w:r w:rsidRPr="00561F8E">
              <w:rPr>
                <w:szCs w:val="24"/>
              </w:rPr>
              <w:t>Consumer’s progress towards meeting individualized discharge criteria</w:t>
            </w:r>
          </w:p>
          <w:p w:rsidR="00AC2A9D" w:rsidRPr="00561F8E" w:rsidRDefault="00AC2A9D" w:rsidP="001B1B43">
            <w:pPr>
              <w:pStyle w:val="ListParagraph"/>
              <w:numPr>
                <w:ilvl w:val="0"/>
                <w:numId w:val="75"/>
              </w:numPr>
              <w:rPr>
                <w:rFonts w:cs="Arial"/>
                <w:szCs w:val="24"/>
              </w:rPr>
            </w:pPr>
            <w:r w:rsidRPr="00561F8E">
              <w:rPr>
                <w:rFonts w:cs="Arial"/>
                <w:szCs w:val="24"/>
              </w:rPr>
              <w:t>Updates to after care plan</w:t>
            </w:r>
          </w:p>
          <w:p w:rsidR="00AC2A9D" w:rsidRPr="00561F8E" w:rsidRDefault="00AC2A9D" w:rsidP="001B1B43">
            <w:pPr>
              <w:pStyle w:val="ListParagraph"/>
              <w:numPr>
                <w:ilvl w:val="0"/>
                <w:numId w:val="75"/>
              </w:numPr>
              <w:rPr>
                <w:rFonts w:cs="Arial"/>
                <w:szCs w:val="24"/>
              </w:rPr>
            </w:pPr>
            <w:r w:rsidRPr="00561F8E">
              <w:rPr>
                <w:szCs w:val="24"/>
              </w:rPr>
              <w:t>Findings</w:t>
            </w:r>
          </w:p>
          <w:p w:rsidR="00AC2A9D" w:rsidRPr="00561F8E" w:rsidRDefault="00AC2A9D" w:rsidP="001B1B43">
            <w:pPr>
              <w:pStyle w:val="ListParagraph"/>
              <w:numPr>
                <w:ilvl w:val="0"/>
                <w:numId w:val="75"/>
              </w:numPr>
              <w:rPr>
                <w:rFonts w:cs="Arial"/>
                <w:szCs w:val="24"/>
              </w:rPr>
            </w:pPr>
            <w:r w:rsidRPr="00561F8E">
              <w:rPr>
                <w:szCs w:val="24"/>
              </w:rPr>
              <w:t>Recommendations</w:t>
            </w:r>
          </w:p>
          <w:p w:rsidR="00AC2A9D" w:rsidRPr="00561F8E" w:rsidRDefault="00AC2A9D" w:rsidP="001B1B43">
            <w:pPr>
              <w:pStyle w:val="ListParagraph"/>
              <w:numPr>
                <w:ilvl w:val="0"/>
                <w:numId w:val="75"/>
              </w:numPr>
              <w:rPr>
                <w:rFonts w:cs="Arial"/>
                <w:szCs w:val="24"/>
              </w:rPr>
            </w:pPr>
            <w:r w:rsidRPr="00561F8E">
              <w:rPr>
                <w:szCs w:val="24"/>
              </w:rPr>
              <w:t>Dated signature of the consumer</w:t>
            </w:r>
          </w:p>
          <w:p w:rsidR="00AC2A9D" w:rsidRPr="00561F8E" w:rsidRDefault="00AC2A9D" w:rsidP="001B1B43">
            <w:pPr>
              <w:pStyle w:val="ListParagraph"/>
              <w:numPr>
                <w:ilvl w:val="0"/>
                <w:numId w:val="75"/>
              </w:numPr>
              <w:rPr>
                <w:rFonts w:cs="Arial"/>
                <w:szCs w:val="24"/>
              </w:rPr>
            </w:pPr>
            <w:r w:rsidRPr="00561F8E">
              <w:rPr>
                <w:szCs w:val="24"/>
              </w:rPr>
              <w:t xml:space="preserve">Dated signature of the consumer’s parent, guardian </w:t>
            </w:r>
            <w:r w:rsidRPr="00561F8E">
              <w:rPr>
                <w:szCs w:val="24"/>
              </w:rPr>
              <w:lastRenderedPageBreak/>
              <w:t>or legal custodian (If consumer is under 18 years of age)</w:t>
            </w:r>
          </w:p>
          <w:p w:rsidR="00AC2A9D" w:rsidRPr="00561F8E" w:rsidRDefault="00AC2A9D" w:rsidP="001B1B43">
            <w:pPr>
              <w:pStyle w:val="ListParagraph"/>
              <w:numPr>
                <w:ilvl w:val="0"/>
                <w:numId w:val="75"/>
              </w:numPr>
              <w:rPr>
                <w:rFonts w:cs="Arial"/>
                <w:szCs w:val="24"/>
              </w:rPr>
            </w:pPr>
            <w:r w:rsidRPr="00561F8E">
              <w:rPr>
                <w:szCs w:val="24"/>
              </w:rPr>
              <w:t>Signatures of the treatment team members who participated in review of the plan</w:t>
            </w:r>
          </w:p>
          <w:p w:rsidR="00AC2A9D" w:rsidRPr="00561F8E" w:rsidRDefault="00AC2A9D" w:rsidP="001B1B43">
            <w:pPr>
              <w:pStyle w:val="ListParagraph"/>
              <w:numPr>
                <w:ilvl w:val="0"/>
                <w:numId w:val="75"/>
              </w:numPr>
              <w:rPr>
                <w:rFonts w:cs="Arial"/>
                <w:szCs w:val="24"/>
              </w:rPr>
            </w:pPr>
            <w:r w:rsidRPr="00561F8E">
              <w:rPr>
                <w:szCs w:val="24"/>
              </w:rPr>
              <w:t>A sign and dated statement by the treating practitioner that services are medically necessary and appropriate to the consumer’s diagnosis and needs</w:t>
            </w:r>
          </w:p>
          <w:p w:rsidR="00AC2A9D" w:rsidRPr="00561F8E" w:rsidRDefault="00AC2A9D" w:rsidP="00561F8E">
            <w:pPr>
              <w:rPr>
                <w:rFonts w:cs="Arial"/>
                <w:szCs w:val="24"/>
              </w:rPr>
            </w:pPr>
          </w:p>
          <w:p w:rsidR="00AC2A9D" w:rsidRPr="00561F8E" w:rsidRDefault="00AC2A9D" w:rsidP="00561F8E">
            <w:pPr>
              <w:rPr>
                <w:rFonts w:cs="Arial"/>
                <w:szCs w:val="24"/>
              </w:rPr>
            </w:pPr>
            <w:r w:rsidRPr="00561F8E">
              <w:rPr>
                <w:rFonts w:cs="Arial"/>
                <w:szCs w:val="24"/>
              </w:rPr>
              <w:t>If the treatment plan review process indicates that the goals and objectives have not been met, documentation shall reflect the treatment team’s re-assessment of services and justification if no changes are made.</w:t>
            </w:r>
          </w:p>
          <w:p w:rsidR="00575030" w:rsidRPr="00561F8E" w:rsidRDefault="00575030" w:rsidP="00561F8E">
            <w:pPr>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575030" w:rsidP="00561F8E">
            <w:pPr>
              <w:rPr>
                <w:rFonts w:cs="Arial"/>
                <w:szCs w:val="24"/>
              </w:rPr>
            </w:pPr>
            <w:r w:rsidRPr="00561F8E">
              <w:rPr>
                <w:rFonts w:cs="Arial"/>
                <w:szCs w:val="24"/>
              </w:rPr>
              <w:lastRenderedPageBreak/>
              <w:t>2</w:t>
            </w:r>
            <w:r w:rsidR="00AC2A9D" w:rsidRPr="00561F8E">
              <w:rPr>
                <w:rFonts w:cs="Arial"/>
                <w:szCs w:val="24"/>
              </w:rPr>
              <w:t>.9</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561F8E">
            <w:pPr>
              <w:rPr>
                <w:rFonts w:cs="Arial"/>
                <w:szCs w:val="24"/>
              </w:rPr>
            </w:pPr>
            <w:r w:rsidRPr="00561F8E">
              <w:rPr>
                <w:rFonts w:cs="Arial"/>
                <w:szCs w:val="24"/>
              </w:rPr>
              <w:t>Written documentation must be included in the consumer’s clinical record upon completion of the treatment plan review activities.</w:t>
            </w:r>
          </w:p>
        </w:tc>
      </w:tr>
    </w:tbl>
    <w:p w:rsidR="00AC2A9D" w:rsidRDefault="00AC2A9D" w:rsidP="00AC2A9D">
      <w:pPr>
        <w:spacing w:after="0" w:line="240" w:lineRule="auto"/>
        <w:rPr>
          <w:rFonts w:ascii="Arial" w:hAnsi="Arial" w:cs="Arial"/>
          <w:sz w:val="24"/>
        </w:rPr>
      </w:pPr>
    </w:p>
    <w:tbl>
      <w:tblPr>
        <w:tblStyle w:val="TableGrid14"/>
        <w:tblW w:w="0" w:type="auto"/>
        <w:tblLook w:val="04A0" w:firstRow="1" w:lastRow="0" w:firstColumn="1" w:lastColumn="0" w:noHBand="0" w:noVBand="1"/>
      </w:tblPr>
      <w:tblGrid>
        <w:gridCol w:w="9576"/>
      </w:tblGrid>
      <w:tr w:rsidR="00575030" w:rsidRPr="008E7A5D" w:rsidTr="00575030">
        <w:trPr>
          <w:trHeight w:hRule="exact" w:val="360"/>
        </w:trPr>
        <w:tc>
          <w:tcPr>
            <w:tcW w:w="9576" w:type="dxa"/>
            <w:tcBorders>
              <w:top w:val="single" w:sz="12" w:space="0" w:color="17365D" w:themeColor="text2" w:themeShade="BF"/>
              <w:left w:val="nil"/>
              <w:bottom w:val="single" w:sz="12" w:space="0" w:color="17365D" w:themeColor="text2" w:themeShade="BF"/>
              <w:right w:val="nil"/>
            </w:tcBorders>
          </w:tcPr>
          <w:p w:rsidR="00575030" w:rsidRPr="00C239A1" w:rsidRDefault="00575030" w:rsidP="00575030">
            <w:pPr>
              <w:pStyle w:val="Heading3"/>
              <w:spacing w:before="0"/>
              <w:outlineLvl w:val="2"/>
              <w:rPr>
                <w:b w:val="0"/>
              </w:rPr>
            </w:pPr>
            <w:bookmarkStart w:id="69" w:name="_Toc489280907"/>
            <w:r w:rsidRPr="00C239A1">
              <w:rPr>
                <w:rFonts w:eastAsia="Calibri" w:cs="Times New Roman"/>
                <w:bCs/>
                <w:sz w:val="28"/>
              </w:rPr>
              <w:t>3.0 Discharge</w:t>
            </w:r>
            <w:bookmarkEnd w:id="69"/>
          </w:p>
        </w:tc>
      </w:tr>
    </w:tbl>
    <w:p w:rsidR="00575030" w:rsidRDefault="00575030" w:rsidP="00AC2A9D">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576"/>
      </w:tblGrid>
      <w:tr w:rsidR="00C239A1" w:rsidTr="00C239A1">
        <w:tc>
          <w:tcPr>
            <w:tcW w:w="9576" w:type="dxa"/>
            <w:tcBorders>
              <w:top w:val="nil"/>
              <w:left w:val="nil"/>
              <w:bottom w:val="nil"/>
              <w:right w:val="nil"/>
            </w:tcBorders>
          </w:tcPr>
          <w:p w:rsidR="00C239A1" w:rsidRDefault="00C239A1" w:rsidP="00C239A1">
            <w:pPr>
              <w:rPr>
                <w:rFonts w:cs="Arial"/>
              </w:rPr>
            </w:pPr>
            <w:r w:rsidRPr="00AC2A9D">
              <w:rPr>
                <w:rFonts w:cs="Arial"/>
              </w:rPr>
              <w:t>Consumers who are no longer engaged in Outpatient Substance Abuse services should have their cases closed based on the criteria and protocol outlined in the consumer’s treatment plan and the agency’s Discharge policy in the Policies and Procedures Manual.</w:t>
            </w:r>
          </w:p>
        </w:tc>
      </w:tr>
    </w:tbl>
    <w:p w:rsidR="00AC2A9D" w:rsidRPr="00AC2A9D" w:rsidRDefault="00AC2A9D" w:rsidP="00AC2A9D">
      <w:pPr>
        <w:spacing w:after="0" w:line="240" w:lineRule="auto"/>
        <w:rPr>
          <w:rFonts w:ascii="Arial" w:hAnsi="Arial" w:cs="Arial"/>
          <w:sz w:val="24"/>
        </w:rPr>
      </w:pPr>
    </w:p>
    <w:tbl>
      <w:tblPr>
        <w:tblStyle w:val="TableGrid15"/>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AC2A9D" w:rsidRPr="00AC2A9D" w:rsidTr="00575030">
        <w:trPr>
          <w:trHeight w:hRule="exact" w:val="396"/>
        </w:trPr>
        <w:tc>
          <w:tcPr>
            <w:tcW w:w="9558" w:type="dxa"/>
            <w:gridSpan w:val="6"/>
            <w:shd w:val="clear" w:color="auto" w:fill="17365D" w:themeFill="text2" w:themeFillShade="BF"/>
          </w:tcPr>
          <w:p w:rsidR="00AC2A9D" w:rsidRPr="00AC2A9D" w:rsidRDefault="00AC2A9D" w:rsidP="00575030">
            <w:pPr>
              <w:pStyle w:val="Heading4"/>
              <w:spacing w:before="0"/>
              <w:outlineLvl w:val="3"/>
              <w:rPr>
                <w:rFonts w:eastAsia="Calibri"/>
              </w:rPr>
            </w:pPr>
            <w:r w:rsidRPr="00575030">
              <w:rPr>
                <w:rFonts w:eastAsia="Calibri"/>
                <w:color w:val="FFFFFF" w:themeColor="background1"/>
                <w:sz w:val="28"/>
              </w:rPr>
              <w:t>3.0 Discharge</w:t>
            </w:r>
          </w:p>
        </w:tc>
      </w:tr>
      <w:tr w:rsidR="00AC2A9D" w:rsidRPr="00AC2A9D" w:rsidTr="00575030">
        <w:trPr>
          <w:trHeight w:hRule="exact" w:val="288"/>
        </w:trPr>
        <w:tc>
          <w:tcPr>
            <w:tcW w:w="720" w:type="dxa"/>
          </w:tcPr>
          <w:p w:rsidR="00AC2A9D" w:rsidRPr="00AC2A9D" w:rsidRDefault="00AC2A9D" w:rsidP="00AC2A9D">
            <w:pPr>
              <w:rPr>
                <w:rFonts w:cs="Arial"/>
              </w:rPr>
            </w:pPr>
          </w:p>
        </w:tc>
        <w:tc>
          <w:tcPr>
            <w:tcW w:w="4176" w:type="dxa"/>
            <w:gridSpan w:val="2"/>
          </w:tcPr>
          <w:p w:rsidR="00AC2A9D" w:rsidRPr="00AC2A9D" w:rsidRDefault="00AC2A9D" w:rsidP="00AC2A9D">
            <w:pPr>
              <w:rPr>
                <w:rFonts w:cs="Arial"/>
              </w:rPr>
            </w:pPr>
          </w:p>
        </w:tc>
        <w:tc>
          <w:tcPr>
            <w:tcW w:w="720" w:type="dxa"/>
            <w:gridSpan w:val="2"/>
          </w:tcPr>
          <w:p w:rsidR="00AC2A9D" w:rsidRPr="00AC2A9D" w:rsidRDefault="00AC2A9D" w:rsidP="00AC2A9D">
            <w:pPr>
              <w:rPr>
                <w:rFonts w:cs="Arial"/>
              </w:rPr>
            </w:pPr>
          </w:p>
        </w:tc>
        <w:tc>
          <w:tcPr>
            <w:tcW w:w="3942" w:type="dxa"/>
          </w:tcPr>
          <w:p w:rsidR="00AC2A9D" w:rsidRPr="00AC2A9D" w:rsidRDefault="00AC2A9D" w:rsidP="00AC2A9D">
            <w:pPr>
              <w:rPr>
                <w:rFonts w:cs="Arial"/>
              </w:rPr>
            </w:pPr>
          </w:p>
        </w:tc>
      </w:tr>
      <w:tr w:rsidR="00AC2A9D" w:rsidRPr="00AC2A9D" w:rsidTr="00575030">
        <w:trPr>
          <w:trHeight w:hRule="exact" w:val="288"/>
        </w:trPr>
        <w:tc>
          <w:tcPr>
            <w:tcW w:w="4896" w:type="dxa"/>
            <w:gridSpan w:val="3"/>
            <w:tcBorders>
              <w:bottom w:val="single" w:sz="12" w:space="0" w:color="17365D" w:themeColor="text2" w:themeShade="BF"/>
              <w:right w:val="single" w:sz="12" w:space="0" w:color="17365D" w:themeColor="text2" w:themeShade="BF"/>
            </w:tcBorders>
            <w:vAlign w:val="center"/>
          </w:tcPr>
          <w:p w:rsidR="00AC2A9D" w:rsidRPr="00561F8E" w:rsidRDefault="00AC2A9D" w:rsidP="00AC2A9D">
            <w:pPr>
              <w:jc w:val="center"/>
              <w:rPr>
                <w:rStyle w:val="BookTitle"/>
              </w:rPr>
            </w:pPr>
            <w:r w:rsidRPr="00561F8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AC2A9D" w:rsidRPr="00561F8E" w:rsidRDefault="00AC2A9D" w:rsidP="00AC2A9D">
            <w:pPr>
              <w:jc w:val="center"/>
              <w:rPr>
                <w:rStyle w:val="BookTitle"/>
              </w:rPr>
            </w:pPr>
            <w:r w:rsidRPr="00561F8E">
              <w:rPr>
                <w:rStyle w:val="BookTitle"/>
              </w:rPr>
              <w:t>Measures</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AC2A9D">
            <w:pPr>
              <w:rPr>
                <w:rFonts w:cs="Arial"/>
                <w:szCs w:val="24"/>
              </w:rPr>
            </w:pPr>
            <w:r w:rsidRPr="00561F8E">
              <w:rPr>
                <w:rFonts w:cs="Arial"/>
                <w:szCs w:val="24"/>
              </w:rPr>
              <w:t>Upon face-to-face discharge, consumers shall receive a discharge plan which has been approved by a qualified supervisor</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t>3.1</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t xml:space="preserve">Discharge plan will document reason for closure; outline available resources and instructions for follow up, and </w:t>
            </w:r>
            <w:r w:rsidR="00575030" w:rsidRPr="00561F8E">
              <w:rPr>
                <w:rFonts w:cs="Arial"/>
                <w:szCs w:val="24"/>
              </w:rPr>
              <w:t>are</w:t>
            </w:r>
            <w:r w:rsidRPr="00561F8E">
              <w:rPr>
                <w:rFonts w:cs="Arial"/>
                <w:szCs w:val="24"/>
              </w:rPr>
              <w:t xml:space="preserve"> signed by the treating provider and a qualified supervisor.</w:t>
            </w:r>
          </w:p>
          <w:p w:rsidR="00575030" w:rsidRPr="00561F8E" w:rsidRDefault="00575030" w:rsidP="00AC2A9D">
            <w:pPr>
              <w:rPr>
                <w:rFonts w:cs="Arial"/>
                <w:szCs w:val="24"/>
              </w:rPr>
            </w:pP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t>3.2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AC2A9D">
            <w:pPr>
              <w:contextualSpacing/>
              <w:rPr>
                <w:rFonts w:cs="Arial"/>
                <w:szCs w:val="24"/>
              </w:rPr>
            </w:pPr>
            <w:r w:rsidRPr="00561F8E">
              <w:rPr>
                <w:rFonts w:cs="Arial"/>
                <w:szCs w:val="24"/>
              </w:rPr>
              <w:t xml:space="preserve">Each closed consumer record shall contain a discharge summary and an exit interview, where appropriate. </w:t>
            </w:r>
          </w:p>
          <w:p w:rsidR="00AC2A9D" w:rsidRPr="00561F8E" w:rsidRDefault="00AC2A9D" w:rsidP="00AC2A9D">
            <w:pPr>
              <w:contextualSpacing/>
              <w:rPr>
                <w:rFonts w:cs="Arial"/>
                <w:szCs w:val="24"/>
              </w:rPr>
            </w:pPr>
          </w:p>
          <w:p w:rsidR="00AC2A9D" w:rsidRPr="00C239A1" w:rsidRDefault="00AC2A9D" w:rsidP="00AC2A9D">
            <w:pPr>
              <w:contextualSpacing/>
              <w:rPr>
                <w:rFonts w:cs="Arial"/>
                <w:b/>
                <w:sz w:val="22"/>
                <w:szCs w:val="24"/>
              </w:rPr>
            </w:pPr>
            <w:r w:rsidRPr="00C239A1">
              <w:rPr>
                <w:rFonts w:cs="Arial"/>
                <w:b/>
                <w:sz w:val="22"/>
                <w:szCs w:val="24"/>
              </w:rPr>
              <w:lastRenderedPageBreak/>
              <w:t>Note: When the treating provider is not able to conduct an exit interview or discharge summary, the reason must be documented in the record.</w:t>
            </w:r>
          </w:p>
          <w:p w:rsidR="00575030" w:rsidRPr="00561F8E" w:rsidRDefault="00575030" w:rsidP="00AC2A9D">
            <w:pPr>
              <w:contextualSpacing/>
              <w:rPr>
                <w:rFonts w:cs="Arial"/>
                <w:b/>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lastRenderedPageBreak/>
              <w:t>3.2</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t>The discharge summary shall document the recent closure in case disposition and shall be reviewed by the clinical supervisor.</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lastRenderedPageBreak/>
              <w:t>3.3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AC2A9D">
            <w:pPr>
              <w:contextualSpacing/>
              <w:rPr>
                <w:rFonts w:cs="Arial"/>
                <w:szCs w:val="24"/>
              </w:rPr>
            </w:pPr>
            <w:r w:rsidRPr="00561F8E">
              <w:rPr>
                <w:rFonts w:cs="Arial"/>
                <w:szCs w:val="24"/>
              </w:rPr>
              <w:t>All discharged consumers shall be offered an exit interview via one of the following:</w:t>
            </w:r>
          </w:p>
          <w:p w:rsidR="00AC2A9D" w:rsidRPr="00561F8E" w:rsidRDefault="00575030" w:rsidP="001B1B43">
            <w:pPr>
              <w:pStyle w:val="ListParagraph"/>
              <w:numPr>
                <w:ilvl w:val="0"/>
                <w:numId w:val="76"/>
              </w:numPr>
              <w:rPr>
                <w:szCs w:val="24"/>
              </w:rPr>
            </w:pPr>
            <w:r w:rsidRPr="00561F8E">
              <w:rPr>
                <w:szCs w:val="24"/>
              </w:rPr>
              <w:t>Face-to-face visit;</w:t>
            </w:r>
          </w:p>
          <w:p w:rsidR="00AC2A9D" w:rsidRPr="00561F8E" w:rsidRDefault="00575030" w:rsidP="001B1B43">
            <w:pPr>
              <w:pStyle w:val="ListParagraph"/>
              <w:numPr>
                <w:ilvl w:val="0"/>
                <w:numId w:val="76"/>
              </w:numPr>
              <w:rPr>
                <w:szCs w:val="24"/>
              </w:rPr>
            </w:pPr>
            <w:r w:rsidRPr="00561F8E">
              <w:rPr>
                <w:szCs w:val="24"/>
              </w:rPr>
              <w:t>Telephone call; or</w:t>
            </w:r>
          </w:p>
          <w:p w:rsidR="00AC2A9D" w:rsidRPr="00561F8E" w:rsidRDefault="00575030" w:rsidP="001B1B43">
            <w:pPr>
              <w:pStyle w:val="ListParagraph"/>
              <w:numPr>
                <w:ilvl w:val="0"/>
                <w:numId w:val="76"/>
              </w:numPr>
              <w:rPr>
                <w:szCs w:val="24"/>
              </w:rPr>
            </w:pPr>
            <w:r w:rsidRPr="00561F8E">
              <w:rPr>
                <w:szCs w:val="24"/>
              </w:rPr>
              <w:t>Written communication</w:t>
            </w:r>
          </w:p>
          <w:p w:rsidR="008E7A53" w:rsidRPr="008E7A53" w:rsidRDefault="008E7A53" w:rsidP="00AC2A9D">
            <w:pPr>
              <w:contextualSpacing/>
              <w:rPr>
                <w:rFonts w:cs="Arial"/>
                <w:b/>
                <w:szCs w:val="24"/>
              </w:rPr>
            </w:pPr>
          </w:p>
          <w:p w:rsidR="00AC2A9D" w:rsidRPr="00C239A1" w:rsidRDefault="00AC2A9D" w:rsidP="00AC2A9D">
            <w:pPr>
              <w:contextualSpacing/>
              <w:rPr>
                <w:rFonts w:cs="Arial"/>
                <w:b/>
                <w:sz w:val="22"/>
                <w:szCs w:val="24"/>
              </w:rPr>
            </w:pPr>
            <w:r w:rsidRPr="00C239A1">
              <w:rPr>
                <w:rFonts w:cs="Arial"/>
                <w:b/>
                <w:sz w:val="22"/>
                <w:szCs w:val="24"/>
              </w:rPr>
              <w:t>Note: When the treating provider  is not able to conduct an exit interview, reason must be documented in the record</w:t>
            </w:r>
          </w:p>
          <w:p w:rsidR="00575030" w:rsidRPr="00561F8E" w:rsidRDefault="00575030" w:rsidP="00AC2A9D">
            <w:pPr>
              <w:contextualSpacing/>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t>3.3</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t>The discharge summary shall document an exit interview was offered.</w:t>
            </w:r>
          </w:p>
        </w:tc>
      </w:tr>
      <w:tr w:rsidR="00AC2A9D" w:rsidRPr="00AC2A9D" w:rsidTr="00575030">
        <w:tc>
          <w:tcPr>
            <w:tcW w:w="738" w:type="dxa"/>
            <w:gridSpan w:val="2"/>
            <w:tcBorders>
              <w:top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t>3.4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AC2A9D" w:rsidRPr="00561F8E" w:rsidRDefault="00AC2A9D" w:rsidP="00AC2A9D">
            <w:pPr>
              <w:contextualSpacing/>
              <w:rPr>
                <w:rFonts w:cs="Arial"/>
                <w:szCs w:val="24"/>
              </w:rPr>
            </w:pPr>
            <w:r w:rsidRPr="00561F8E">
              <w:rPr>
                <w:rFonts w:cs="Arial"/>
                <w:szCs w:val="24"/>
              </w:rPr>
              <w:t>All discharge summaries shall be documented in Consumer record within 6 months of the last consumer contact.</w:t>
            </w:r>
          </w:p>
          <w:p w:rsidR="00575030" w:rsidRPr="00561F8E" w:rsidRDefault="00575030" w:rsidP="00AC2A9D">
            <w:pPr>
              <w:contextualSpacing/>
              <w:rPr>
                <w:rFonts w:cs="Arial"/>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t>3.4</w:t>
            </w:r>
          </w:p>
        </w:tc>
        <w:tc>
          <w:tcPr>
            <w:tcW w:w="3960" w:type="dxa"/>
            <w:gridSpan w:val="2"/>
            <w:tcBorders>
              <w:top w:val="single" w:sz="12" w:space="0" w:color="17365D" w:themeColor="text2" w:themeShade="BF"/>
              <w:bottom w:val="single" w:sz="12" w:space="0" w:color="17365D" w:themeColor="text2" w:themeShade="BF"/>
            </w:tcBorders>
          </w:tcPr>
          <w:p w:rsidR="00AC2A9D" w:rsidRPr="00561F8E" w:rsidRDefault="00AC2A9D" w:rsidP="00AC2A9D">
            <w:pPr>
              <w:rPr>
                <w:rFonts w:cs="Arial"/>
                <w:szCs w:val="24"/>
              </w:rPr>
            </w:pPr>
            <w:r w:rsidRPr="00561F8E">
              <w:rPr>
                <w:rFonts w:cs="Arial"/>
                <w:szCs w:val="24"/>
              </w:rPr>
              <w:t>Documentation in consumer clinical record</w:t>
            </w:r>
          </w:p>
        </w:tc>
      </w:tr>
    </w:tbl>
    <w:p w:rsidR="001F7C9B" w:rsidRPr="001F7C9B" w:rsidRDefault="001F7C9B" w:rsidP="001F7C9B">
      <w:pPr>
        <w:spacing w:after="0" w:line="240" w:lineRule="auto"/>
        <w:ind w:left="1080" w:hanging="360"/>
        <w:jc w:val="both"/>
        <w:rPr>
          <w:rFonts w:ascii="Cambria" w:eastAsia="Times New Roman" w:hAnsi="Cambria" w:cs="Times New Roman"/>
        </w:rPr>
      </w:pPr>
    </w:p>
    <w:p w:rsidR="008D2ACF" w:rsidRDefault="008D2ACF" w:rsidP="002C5805">
      <w:pPr>
        <w:spacing w:after="0" w:line="240" w:lineRule="auto"/>
        <w:jc w:val="both"/>
        <w:rPr>
          <w:rFonts w:ascii="Arial" w:hAnsi="Arial" w:cs="Arial"/>
          <w:sz w:val="24"/>
        </w:rPr>
      </w:pPr>
    </w:p>
    <w:p w:rsidR="008D2ACF" w:rsidRDefault="008D2ACF" w:rsidP="002C5805">
      <w:pPr>
        <w:spacing w:after="0" w:line="240" w:lineRule="auto"/>
        <w:jc w:val="both"/>
        <w:rPr>
          <w:rFonts w:ascii="Arial" w:hAnsi="Arial" w:cs="Arial"/>
          <w:sz w:val="24"/>
        </w:rPr>
      </w:pPr>
    </w:p>
    <w:p w:rsidR="008D2ACF" w:rsidRDefault="008D2ACF" w:rsidP="002C5805">
      <w:pPr>
        <w:spacing w:after="0" w:line="240" w:lineRule="auto"/>
        <w:jc w:val="both"/>
        <w:rPr>
          <w:rFonts w:ascii="Arial" w:hAnsi="Arial" w:cs="Arial"/>
          <w:sz w:val="24"/>
        </w:rPr>
      </w:pPr>
    </w:p>
    <w:p w:rsidR="008D2ACF" w:rsidRDefault="008D2ACF" w:rsidP="002C5805">
      <w:pPr>
        <w:spacing w:after="0" w:line="240" w:lineRule="auto"/>
        <w:jc w:val="both"/>
        <w:rPr>
          <w:rFonts w:ascii="Arial" w:hAnsi="Arial" w:cs="Arial"/>
          <w:sz w:val="24"/>
        </w:rPr>
      </w:pPr>
    </w:p>
    <w:p w:rsidR="003910BE" w:rsidRDefault="003910BE" w:rsidP="002C5805">
      <w:pPr>
        <w:spacing w:after="0" w:line="240" w:lineRule="auto"/>
        <w:jc w:val="both"/>
        <w:rPr>
          <w:rFonts w:ascii="Arial" w:hAnsi="Arial" w:cs="Arial"/>
          <w:sz w:val="24"/>
        </w:rPr>
      </w:pPr>
    </w:p>
    <w:p w:rsidR="003910BE" w:rsidRDefault="003910BE" w:rsidP="002C5805">
      <w:pPr>
        <w:spacing w:after="0" w:line="240" w:lineRule="auto"/>
        <w:jc w:val="both"/>
        <w:rPr>
          <w:rFonts w:ascii="Arial" w:hAnsi="Arial" w:cs="Arial"/>
          <w:sz w:val="24"/>
        </w:rPr>
      </w:pPr>
    </w:p>
    <w:p w:rsidR="008D2ACF" w:rsidRDefault="008D2ACF" w:rsidP="002C5805">
      <w:pPr>
        <w:spacing w:after="0" w:line="240" w:lineRule="auto"/>
        <w:jc w:val="both"/>
        <w:rPr>
          <w:rFonts w:ascii="Arial" w:hAnsi="Arial" w:cs="Arial"/>
          <w:sz w:val="24"/>
        </w:rPr>
      </w:pPr>
    </w:p>
    <w:p w:rsidR="008D2ACF" w:rsidRDefault="008D2ACF" w:rsidP="002C5805">
      <w:pPr>
        <w:spacing w:after="0" w:line="240" w:lineRule="auto"/>
        <w:jc w:val="both"/>
        <w:rPr>
          <w:rFonts w:ascii="Arial" w:hAnsi="Arial" w:cs="Arial"/>
          <w:sz w:val="24"/>
        </w:rPr>
      </w:pPr>
    </w:p>
    <w:p w:rsidR="00575030" w:rsidRDefault="00575030" w:rsidP="002C5805">
      <w:pPr>
        <w:spacing w:after="0" w:line="240" w:lineRule="auto"/>
        <w:jc w:val="both"/>
        <w:rPr>
          <w:rFonts w:ascii="Arial" w:hAnsi="Arial" w:cs="Arial"/>
          <w:sz w:val="24"/>
        </w:rPr>
      </w:pPr>
    </w:p>
    <w:p w:rsidR="00575030" w:rsidRDefault="00575030" w:rsidP="002C5805">
      <w:pPr>
        <w:spacing w:after="0" w:line="240" w:lineRule="auto"/>
        <w:jc w:val="both"/>
        <w:rPr>
          <w:rFonts w:ascii="Arial" w:hAnsi="Arial" w:cs="Arial"/>
          <w:sz w:val="24"/>
        </w:rPr>
      </w:pPr>
    </w:p>
    <w:p w:rsidR="00575030" w:rsidRDefault="00575030" w:rsidP="002C5805">
      <w:pPr>
        <w:spacing w:after="0" w:line="240" w:lineRule="auto"/>
        <w:jc w:val="both"/>
        <w:rPr>
          <w:rFonts w:ascii="Arial" w:hAnsi="Arial" w:cs="Arial"/>
          <w:sz w:val="24"/>
        </w:rPr>
      </w:pPr>
    </w:p>
    <w:p w:rsidR="00575030" w:rsidRDefault="00575030" w:rsidP="002C5805">
      <w:pPr>
        <w:spacing w:after="0" w:line="240" w:lineRule="auto"/>
        <w:jc w:val="both"/>
        <w:rPr>
          <w:rFonts w:ascii="Arial" w:hAnsi="Arial" w:cs="Arial"/>
          <w:sz w:val="24"/>
        </w:rPr>
      </w:pPr>
    </w:p>
    <w:p w:rsidR="00575030" w:rsidRDefault="00575030" w:rsidP="002C5805">
      <w:pPr>
        <w:spacing w:after="0" w:line="240" w:lineRule="auto"/>
        <w:jc w:val="both"/>
        <w:rPr>
          <w:rFonts w:ascii="Arial" w:hAnsi="Arial" w:cs="Arial"/>
          <w:sz w:val="24"/>
        </w:rPr>
      </w:pPr>
    </w:p>
    <w:p w:rsidR="00575030" w:rsidRDefault="00575030" w:rsidP="002C5805">
      <w:pPr>
        <w:spacing w:after="0" w:line="240" w:lineRule="auto"/>
        <w:jc w:val="both"/>
        <w:rPr>
          <w:rFonts w:ascii="Arial" w:hAnsi="Arial" w:cs="Arial"/>
          <w:sz w:val="24"/>
        </w:rPr>
      </w:pPr>
    </w:p>
    <w:p w:rsidR="00575030" w:rsidRDefault="00575030" w:rsidP="002C5805">
      <w:pPr>
        <w:spacing w:after="0" w:line="240" w:lineRule="auto"/>
        <w:jc w:val="both"/>
        <w:rPr>
          <w:rFonts w:ascii="Arial" w:hAnsi="Arial" w:cs="Arial"/>
          <w:sz w:val="24"/>
        </w:rPr>
      </w:pPr>
    </w:p>
    <w:p w:rsidR="00575030" w:rsidRDefault="00575030" w:rsidP="002C5805">
      <w:pPr>
        <w:spacing w:after="0" w:line="240" w:lineRule="auto"/>
        <w:jc w:val="both"/>
        <w:rPr>
          <w:rFonts w:ascii="Arial" w:hAnsi="Arial" w:cs="Arial"/>
          <w:sz w:val="24"/>
        </w:rPr>
      </w:pPr>
    </w:p>
    <w:p w:rsidR="00575030" w:rsidRDefault="00575030" w:rsidP="002C5805">
      <w:pPr>
        <w:spacing w:after="0" w:line="240" w:lineRule="auto"/>
        <w:jc w:val="both"/>
        <w:rPr>
          <w:rFonts w:ascii="Arial" w:hAnsi="Arial" w:cs="Arial"/>
          <w:sz w:val="24"/>
        </w:rPr>
      </w:pPr>
    </w:p>
    <w:p w:rsidR="00575030" w:rsidRDefault="00575030" w:rsidP="002C5805">
      <w:pPr>
        <w:spacing w:after="0" w:line="240" w:lineRule="auto"/>
        <w:jc w:val="both"/>
        <w:rPr>
          <w:rFonts w:ascii="Arial" w:hAnsi="Arial" w:cs="Arial"/>
          <w:sz w:val="24"/>
        </w:rPr>
      </w:pPr>
    </w:p>
    <w:p w:rsidR="005F3069" w:rsidRDefault="00575030">
      <w:pPr>
        <w:rPr>
          <w:rFonts w:ascii="Arial" w:hAnsi="Arial" w:cs="Arial"/>
          <w:sz w:val="24"/>
        </w:rPr>
        <w:sectPr w:rsidR="005F3069" w:rsidSect="00087F6A">
          <w:headerReference w:type="default" r:id="rId53"/>
          <w:footerReference w:type="default" r:id="rId54"/>
          <w:footerReference w:type="first" r:id="rId55"/>
          <w:pgSz w:w="12240" w:h="15840" w:code="1"/>
          <w:pgMar w:top="1296" w:right="1440" w:bottom="1296" w:left="1440" w:header="720" w:footer="432" w:gutter="0"/>
          <w:cols w:space="720"/>
          <w:titlePg/>
          <w:docGrid w:linePitch="360"/>
        </w:sectPr>
      </w:pPr>
      <w:r>
        <w:rPr>
          <w:rFonts w:ascii="Arial" w:hAnsi="Arial" w:cs="Arial"/>
          <w:sz w:val="24"/>
        </w:rPr>
        <w:br w:type="page"/>
      </w:r>
    </w:p>
    <w:p w:rsidR="00575030" w:rsidRDefault="00575030">
      <w:pPr>
        <w:rPr>
          <w:rFonts w:ascii="Arial" w:hAnsi="Arial" w:cs="Arial"/>
          <w:sz w:val="24"/>
        </w:rPr>
      </w:pPr>
    </w:p>
    <w:p w:rsidR="00575030" w:rsidRDefault="00575030" w:rsidP="002C5805">
      <w:pPr>
        <w:spacing w:after="0" w:line="240" w:lineRule="auto"/>
        <w:jc w:val="both"/>
        <w:rPr>
          <w:rFonts w:ascii="Arial" w:hAnsi="Arial" w:cs="Arial"/>
          <w:sz w:val="24"/>
        </w:rPr>
      </w:pPr>
    </w:p>
    <w:p w:rsidR="005F3069" w:rsidRDefault="00575030">
      <w:pPr>
        <w:rPr>
          <w:rFonts w:ascii="Arial" w:hAnsi="Arial" w:cs="Arial"/>
          <w:sz w:val="24"/>
        </w:rPr>
        <w:sectPr w:rsidR="005F3069" w:rsidSect="00087F6A">
          <w:footerReference w:type="first" r:id="rId56"/>
          <w:pgSz w:w="12240" w:h="15840" w:code="1"/>
          <w:pgMar w:top="1296" w:right="1440" w:bottom="1296" w:left="1440" w:header="720" w:footer="432" w:gutter="0"/>
          <w:cols w:space="720"/>
          <w:titlePg/>
          <w:docGrid w:linePitch="360"/>
        </w:sectPr>
      </w:pPr>
      <w:r w:rsidRPr="00575030">
        <w:rPr>
          <w:rFonts w:ascii="Arial" w:eastAsia="Calibri" w:hAnsi="Arial" w:cs="Times New Roman"/>
          <w:bCs/>
          <w:noProof/>
          <w:sz w:val="24"/>
          <w:szCs w:val="20"/>
        </w:rPr>
        <mc:AlternateContent>
          <mc:Choice Requires="wps">
            <w:drawing>
              <wp:anchor distT="91440" distB="137160" distL="114300" distR="114300" simplePos="0" relativeHeight="251688960" behindDoc="0" locked="0" layoutInCell="0" allowOverlap="1" wp14:anchorId="6A361C21" wp14:editId="38E20A43">
                <wp:simplePos x="0" y="0"/>
                <wp:positionH relativeFrom="page">
                  <wp:posOffset>456565</wp:posOffset>
                </wp:positionH>
                <wp:positionV relativeFrom="page">
                  <wp:posOffset>3735705</wp:posOffset>
                </wp:positionV>
                <wp:extent cx="6734810" cy="1493520"/>
                <wp:effectExtent l="209550" t="209550" r="46990" b="495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34810" cy="1493520"/>
                        </a:xfrm>
                        <a:prstGeom prst="rect">
                          <a:avLst/>
                        </a:prstGeom>
                        <a:gradFill rotWithShape="1">
                          <a:gsLst>
                            <a:gs pos="0">
                              <a:srgbClr val="002060"/>
                            </a:gs>
                            <a:gs pos="100000">
                              <a:srgbClr val="002060">
                                <a:gamma/>
                                <a:shade val="60000"/>
                                <a:invGamma/>
                              </a:srgbClr>
                            </a:gs>
                          </a:gsLst>
                          <a:path path="shape">
                            <a:fillToRect l="50000" t="50000" r="50000" b="50000"/>
                          </a:path>
                        </a:gradFill>
                        <a:ln w="9525" algn="ctr">
                          <a:miter lim="800000"/>
                          <a:headEnd/>
                          <a:tailEnd/>
                        </a:ln>
                        <a:effectLst/>
                        <a:scene3d>
                          <a:camera prst="legacyObliqueTopLeft"/>
                          <a:lightRig rig="legacyFlat3" dir="t"/>
                        </a:scene3d>
                        <a:sp3d extrusionH="430200" prstMaterial="legacyMatte">
                          <a:bevelT w="13500" h="13500" prst="angle"/>
                          <a:bevelB w="13500" h="13500" prst="angle"/>
                          <a:extrusionClr>
                            <a:srgbClr val="0070C0"/>
                          </a:extrusionClr>
                        </a:sp3d>
                        <a:extLst>
                          <a:ext uri="{AF507438-7753-43E0-B8FC-AC1667EBCBE1}">
                            <a14:hiddenEffects xmlns:a14="http://schemas.microsoft.com/office/drawing/2010/main">
                              <a:effectLst>
                                <a:outerShdw dist="1113790" dir="11340000" rotWithShape="0">
                                  <a:srgbClr val="F79646"/>
                                </a:outerShdw>
                              </a:effectLst>
                            </a14:hiddenEffects>
                          </a:ext>
                        </a:extLst>
                      </wps:spPr>
                      <wps:txbx>
                        <w:txbxContent>
                          <w:p w:rsidR="00DE64CF" w:rsidRPr="00575030" w:rsidRDefault="00DE64CF" w:rsidP="00575030">
                            <w:pPr>
                              <w:pStyle w:val="Heading1"/>
                              <w:jc w:val="center"/>
                              <w:rPr>
                                <w:color w:val="FFFFFF" w:themeColor="background1"/>
                                <w:sz w:val="72"/>
                              </w:rPr>
                            </w:pPr>
                            <w:bookmarkStart w:id="70" w:name="_Toc489280908"/>
                            <w:r w:rsidRPr="00575030">
                              <w:rPr>
                                <w:color w:val="FFFFFF" w:themeColor="background1"/>
                                <w:sz w:val="72"/>
                              </w:rPr>
                              <w:t>Support Services</w:t>
                            </w:r>
                            <w:bookmarkEnd w:id="70"/>
                          </w:p>
                        </w:txbxContent>
                      </wps:txbx>
                      <wps:bodyPr rot="0" vert="horz" wrap="square" lIns="457200" tIns="91440" rIns="13716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margin-left:35.95pt;margin-top:294.15pt;width:530.3pt;height:117.6pt;flip:x;z-index:251688960;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" o:allowincell="f" fillcolor="#002060">
                <v:fill color2="#00133a" rotate="t" focusposition=".5,.5" focussize="" focus="100%" type="gradientRadial"/>
                <v:shadow color="#f79646" origin=",.5" offset="-30.55769mm,-4.83986mm"/>
                <o:extrusion v:ext="view" color="#0070c0" on="t" viewpoint="-34.72222mm" viewpointorigin="-.5" skewangle="-45" lightposition="-50000" lightposition2="50000"/>
                <v:textbox inset="36pt,7.2pt,10.8pt,0">
                  <w:txbxContent>
                    <w:p w:rsidR="00DE64CF" w:rsidRPr="00575030" w:rsidRDefault="00DE64CF" w:rsidP="00575030">
                      <w:pPr>
                        <w:pStyle w:val="Heading1"/>
                        <w:jc w:val="center"/>
                        <w:rPr>
                          <w:color w:val="FFFFFF" w:themeColor="background1"/>
                          <w:sz w:val="72"/>
                        </w:rPr>
                      </w:pPr>
                      <w:bookmarkStart w:id="72" w:name="_Toc489280908"/>
                      <w:r w:rsidRPr="00575030">
                        <w:rPr>
                          <w:color w:val="FFFFFF" w:themeColor="background1"/>
                          <w:sz w:val="72"/>
                        </w:rPr>
                        <w:t>Support Services</w:t>
                      </w:r>
                      <w:bookmarkEnd w:id="72"/>
                    </w:p>
                  </w:txbxContent>
                </v:textbox>
                <w10:wrap anchorx="page" anchory="page"/>
              </v:rect>
            </w:pict>
          </mc:Fallback>
        </mc:AlternateContent>
      </w:r>
      <w:r>
        <w:rPr>
          <w:rFonts w:ascii="Arial" w:hAnsi="Arial" w:cs="Arial"/>
          <w:sz w:val="24"/>
        </w:rPr>
        <w:br w:type="page"/>
      </w:r>
    </w:p>
    <w:tbl>
      <w:tblPr>
        <w:tblStyle w:val="TableGrid"/>
        <w:tblW w:w="0" w:type="auto"/>
        <w:shd w:val="clear" w:color="auto" w:fill="17365D" w:themeFill="text2" w:themeFillShade="BF"/>
        <w:tblLook w:val="04A0" w:firstRow="1" w:lastRow="0" w:firstColumn="1" w:lastColumn="0" w:noHBand="0" w:noVBand="1"/>
      </w:tblPr>
      <w:tblGrid>
        <w:gridCol w:w="9576"/>
      </w:tblGrid>
      <w:tr w:rsidR="005E32E9" w:rsidTr="005E32E9">
        <w:tc>
          <w:tcPr>
            <w:tcW w:w="9576" w:type="dxa"/>
            <w:shd w:val="clear" w:color="auto" w:fill="17365D" w:themeFill="text2" w:themeFillShade="BF"/>
          </w:tcPr>
          <w:p w:rsidR="005E32E9" w:rsidRPr="005E32E9" w:rsidRDefault="00287221" w:rsidP="00C74653">
            <w:pPr>
              <w:pStyle w:val="Heading2"/>
              <w:spacing w:before="0"/>
              <w:jc w:val="center"/>
              <w:outlineLvl w:val="1"/>
            </w:pPr>
            <w:bookmarkStart w:id="71" w:name="_Case_Management_(Non-medical)"/>
            <w:bookmarkStart w:id="72" w:name="_Toc489280909"/>
            <w:bookmarkEnd w:id="71"/>
            <w:r w:rsidRPr="00575030">
              <w:rPr>
                <w:color w:val="FFFFFF" w:themeColor="background1"/>
                <w:sz w:val="32"/>
              </w:rPr>
              <w:lastRenderedPageBreak/>
              <w:t xml:space="preserve">Non-Medical </w:t>
            </w:r>
            <w:r w:rsidR="005E32E9" w:rsidRPr="00575030">
              <w:rPr>
                <w:color w:val="FFFFFF" w:themeColor="background1"/>
                <w:sz w:val="32"/>
              </w:rPr>
              <w:t>Case Management</w:t>
            </w:r>
            <w:bookmarkEnd w:id="72"/>
          </w:p>
        </w:tc>
      </w:tr>
    </w:tbl>
    <w:p w:rsidR="008D2ACF" w:rsidRDefault="008D2ACF" w:rsidP="002C5805">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239A1" w:rsidTr="00C239A1">
        <w:tc>
          <w:tcPr>
            <w:tcW w:w="9576" w:type="dxa"/>
            <w:tcBorders>
              <w:top w:val="nil"/>
              <w:left w:val="nil"/>
              <w:bottom w:val="nil"/>
              <w:right w:val="nil"/>
            </w:tcBorders>
          </w:tcPr>
          <w:p w:rsidR="00C239A1" w:rsidRDefault="00C239A1" w:rsidP="00C239A1">
            <w:pPr>
              <w:rPr>
                <w:rFonts w:cs="Arial"/>
                <w:b/>
              </w:rPr>
            </w:pPr>
            <w:r w:rsidRPr="00575030">
              <w:rPr>
                <w:rFonts w:cs="Arial"/>
                <w:b/>
              </w:rPr>
              <w:t xml:space="preserve">Definition: </w:t>
            </w:r>
          </w:p>
          <w:p w:rsidR="00C239A1" w:rsidRPr="00575030" w:rsidRDefault="00C239A1" w:rsidP="00C239A1">
            <w:pPr>
              <w:rPr>
                <w:rFonts w:cs="Arial"/>
              </w:rPr>
            </w:pPr>
            <w:r w:rsidRPr="00575030">
              <w:rPr>
                <w:rFonts w:cs="Arial"/>
                <w:b/>
              </w:rPr>
              <w:t>Non-Medical Case Management</w:t>
            </w:r>
            <w:r w:rsidRPr="00575030">
              <w:rPr>
                <w:rFonts w:cs="Arial"/>
              </w:rPr>
              <w:t xml:space="preserve"> services provide guidance and assistance in accessing medical, social, community, legal, financial, and other needed services. Non-Medical Case Management services may also include assisting eligible clients to obtain access to other public and private programs for which they may be eligible, such as Medicaid, Medicare Part D, State Pharmacy Assistance Programs, Pharmaceutical Manufacturer’s Patient Assistance Programs, Other state or local health care and supportive services, or health insurance Marketplace plans. </w:t>
            </w:r>
          </w:p>
          <w:p w:rsidR="00C239A1" w:rsidRPr="00575030" w:rsidRDefault="00C239A1" w:rsidP="00C239A1">
            <w:pPr>
              <w:rPr>
                <w:rFonts w:cs="Arial"/>
              </w:rPr>
            </w:pPr>
          </w:p>
          <w:p w:rsidR="00C239A1" w:rsidRPr="00575030" w:rsidRDefault="00C239A1" w:rsidP="00C239A1">
            <w:pPr>
              <w:rPr>
                <w:rFonts w:cs="Arial"/>
              </w:rPr>
            </w:pPr>
            <w:r w:rsidRPr="00575030">
              <w:rPr>
                <w:rFonts w:cs="Arial"/>
              </w:rPr>
              <w:t>This service category includes several methods of communication including face-to-face, phone contact, and any other forms of communication deemed appropriate by the RWHAP Part recipient. Key activities include:</w:t>
            </w:r>
          </w:p>
          <w:p w:rsidR="00C239A1" w:rsidRPr="00C74653" w:rsidRDefault="00C239A1" w:rsidP="001B1B43">
            <w:pPr>
              <w:pStyle w:val="ListParagraph"/>
              <w:numPr>
                <w:ilvl w:val="0"/>
                <w:numId w:val="77"/>
              </w:numPr>
              <w:rPr>
                <w:rFonts w:cs="Arial"/>
              </w:rPr>
            </w:pPr>
            <w:r w:rsidRPr="00C74653">
              <w:rPr>
                <w:rFonts w:cs="Arial"/>
              </w:rPr>
              <w:t>Initial assessment of service needs</w:t>
            </w:r>
          </w:p>
          <w:p w:rsidR="00C239A1" w:rsidRPr="00C74653" w:rsidRDefault="00C239A1" w:rsidP="001B1B43">
            <w:pPr>
              <w:pStyle w:val="ListParagraph"/>
              <w:numPr>
                <w:ilvl w:val="0"/>
                <w:numId w:val="77"/>
              </w:numPr>
              <w:rPr>
                <w:rFonts w:cs="Arial"/>
              </w:rPr>
            </w:pPr>
            <w:r w:rsidRPr="00C74653">
              <w:rPr>
                <w:rFonts w:cs="Arial"/>
              </w:rPr>
              <w:t>Development of a comprehensive, individualized care plan</w:t>
            </w:r>
          </w:p>
          <w:p w:rsidR="00C239A1" w:rsidRPr="00C74653" w:rsidRDefault="00C239A1" w:rsidP="001B1B43">
            <w:pPr>
              <w:pStyle w:val="ListParagraph"/>
              <w:numPr>
                <w:ilvl w:val="0"/>
                <w:numId w:val="77"/>
              </w:numPr>
              <w:rPr>
                <w:rFonts w:cs="Arial"/>
              </w:rPr>
            </w:pPr>
            <w:r w:rsidRPr="00C74653">
              <w:rPr>
                <w:rFonts w:cs="Arial"/>
              </w:rPr>
              <w:t>Continuous client monitoring to assess the efficacy of the care plan</w:t>
            </w:r>
          </w:p>
          <w:p w:rsidR="00C239A1" w:rsidRPr="00C74653" w:rsidRDefault="00C239A1" w:rsidP="001B1B43">
            <w:pPr>
              <w:pStyle w:val="ListParagraph"/>
              <w:numPr>
                <w:ilvl w:val="0"/>
                <w:numId w:val="77"/>
              </w:numPr>
              <w:rPr>
                <w:rFonts w:cs="Arial"/>
              </w:rPr>
            </w:pPr>
            <w:r w:rsidRPr="00C74653">
              <w:rPr>
                <w:rFonts w:cs="Arial"/>
              </w:rPr>
              <w:t>Re-evaluation of the care plan at least every 6 months with adaptations as necessary</w:t>
            </w:r>
          </w:p>
          <w:p w:rsidR="00C239A1" w:rsidRPr="00C74653" w:rsidRDefault="00C239A1" w:rsidP="001B1B43">
            <w:pPr>
              <w:pStyle w:val="ListParagraph"/>
              <w:numPr>
                <w:ilvl w:val="0"/>
                <w:numId w:val="77"/>
              </w:numPr>
              <w:rPr>
                <w:rFonts w:cs="Arial"/>
              </w:rPr>
            </w:pPr>
            <w:r w:rsidRPr="00C74653">
              <w:rPr>
                <w:rFonts w:cs="Arial"/>
              </w:rPr>
              <w:t>Ongoing assessment of the client’s and other key family members’ needs and personal support systems.</w:t>
            </w:r>
          </w:p>
          <w:p w:rsidR="00C239A1" w:rsidRPr="00575030" w:rsidRDefault="00C239A1" w:rsidP="00C239A1">
            <w:pPr>
              <w:rPr>
                <w:rFonts w:cs="Arial"/>
              </w:rPr>
            </w:pPr>
          </w:p>
          <w:p w:rsidR="00C239A1" w:rsidRPr="00C47DFE" w:rsidRDefault="00C239A1" w:rsidP="00C239A1">
            <w:pPr>
              <w:rPr>
                <w:rFonts w:cs="Arial"/>
                <w:b/>
                <w:sz w:val="22"/>
              </w:rPr>
            </w:pPr>
            <w:r w:rsidRPr="00C47DFE">
              <w:rPr>
                <w:rFonts w:cs="Arial"/>
                <w:b/>
                <w:sz w:val="22"/>
              </w:rPr>
              <w:t xml:space="preserve">Note: Non-Medical Case Management Services have as their objective providing guidance and assistance in </w:t>
            </w:r>
            <w:r w:rsidRPr="00C47DFE">
              <w:rPr>
                <w:rFonts w:cs="Arial"/>
                <w:b/>
                <w:sz w:val="22"/>
                <w:u w:val="single"/>
              </w:rPr>
              <w:t>improving access</w:t>
            </w:r>
            <w:r w:rsidRPr="00C47DFE">
              <w:rPr>
                <w:rFonts w:cs="Arial"/>
                <w:b/>
                <w:sz w:val="22"/>
              </w:rPr>
              <w:t xml:space="preserve"> to needed services.</w:t>
            </w:r>
          </w:p>
          <w:p w:rsidR="00C239A1" w:rsidRPr="00575030" w:rsidRDefault="00C239A1" w:rsidP="00C239A1">
            <w:pPr>
              <w:rPr>
                <w:rFonts w:cs="Arial"/>
              </w:rPr>
            </w:pPr>
          </w:p>
          <w:p w:rsidR="00C239A1" w:rsidRDefault="00C239A1" w:rsidP="00C239A1">
            <w:pPr>
              <w:rPr>
                <w:rFonts w:cs="Arial"/>
              </w:rPr>
            </w:pPr>
            <w:r w:rsidRPr="00575030">
              <w:rPr>
                <w:rFonts w:cs="Arial"/>
                <w:b/>
              </w:rPr>
              <w:t>Eligibility:</w:t>
            </w:r>
            <w:r w:rsidRPr="00575030">
              <w:rPr>
                <w:rFonts w:cs="Arial"/>
              </w:rPr>
              <w:t xml:space="preserve"> </w:t>
            </w:r>
          </w:p>
          <w:p w:rsidR="00C239A1" w:rsidRPr="00C239A1" w:rsidRDefault="00C239A1" w:rsidP="00575030">
            <w:pPr>
              <w:rPr>
                <w:rFonts w:cs="Arial"/>
              </w:rPr>
            </w:pPr>
            <w:r w:rsidRPr="00575030">
              <w:rPr>
                <w:rFonts w:cs="Arial"/>
              </w:rPr>
              <w:t>Consumers accessing Non-Medical Case Management shall meet the eligibility standards as described in the</w:t>
            </w:r>
            <w:r>
              <w:rPr>
                <w:rFonts w:cs="Arial"/>
              </w:rPr>
              <w:t xml:space="preserve"> System Wide Standards of Care.</w:t>
            </w:r>
          </w:p>
        </w:tc>
      </w:tr>
    </w:tbl>
    <w:p w:rsidR="00C239A1" w:rsidRDefault="00C239A1" w:rsidP="00575030">
      <w:pPr>
        <w:spacing w:after="0" w:line="240" w:lineRule="auto"/>
        <w:jc w:val="both"/>
        <w:rPr>
          <w:rFonts w:ascii="Arial" w:hAnsi="Arial" w:cs="Arial"/>
          <w:b/>
          <w:sz w:val="24"/>
        </w:rPr>
      </w:pPr>
    </w:p>
    <w:tbl>
      <w:tblPr>
        <w:tblStyle w:val="TableGrid16"/>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9576"/>
      </w:tblGrid>
      <w:tr w:rsidR="00575030" w:rsidRPr="00575030" w:rsidTr="00575030">
        <w:tc>
          <w:tcPr>
            <w:tcW w:w="9576" w:type="dxa"/>
          </w:tcPr>
          <w:p w:rsidR="00575030" w:rsidRPr="00C74653" w:rsidRDefault="00575030" w:rsidP="00C74653">
            <w:pPr>
              <w:pStyle w:val="Heading3"/>
              <w:spacing w:before="0"/>
              <w:outlineLvl w:val="2"/>
              <w:rPr>
                <w:sz w:val="28"/>
              </w:rPr>
            </w:pPr>
            <w:bookmarkStart w:id="73" w:name="_Toc489280910"/>
            <w:r w:rsidRPr="00C74653">
              <w:rPr>
                <w:sz w:val="28"/>
              </w:rPr>
              <w:t>1.0 Policies and Procedures</w:t>
            </w:r>
            <w:bookmarkEnd w:id="73"/>
          </w:p>
        </w:tc>
      </w:tr>
    </w:tbl>
    <w:p w:rsidR="00575030" w:rsidRPr="00575030" w:rsidRDefault="00575030" w:rsidP="00575030">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239A1" w:rsidTr="00C47DFE">
        <w:tc>
          <w:tcPr>
            <w:tcW w:w="9576" w:type="dxa"/>
            <w:tcBorders>
              <w:top w:val="nil"/>
              <w:left w:val="nil"/>
              <w:bottom w:val="nil"/>
              <w:right w:val="nil"/>
            </w:tcBorders>
          </w:tcPr>
          <w:p w:rsidR="00C239A1" w:rsidRDefault="00C47DFE" w:rsidP="00C47DFE">
            <w:pPr>
              <w:rPr>
                <w:rFonts w:cs="Arial"/>
              </w:rPr>
            </w:pPr>
            <w:r w:rsidRPr="00575030">
              <w:rPr>
                <w:rFonts w:cs="Arial"/>
              </w:rPr>
              <w:t>Non-Medical Case Management agencies shall have policies and procedures that ensure that the services are accessible to all eligible consumers. The agency policy and procedure will ensure compliance with the following standards.</w:t>
            </w:r>
          </w:p>
        </w:tc>
      </w:tr>
    </w:tbl>
    <w:p w:rsidR="00575030" w:rsidRPr="00575030" w:rsidRDefault="00575030" w:rsidP="00575030">
      <w:pPr>
        <w:spacing w:after="0" w:line="240" w:lineRule="auto"/>
        <w:jc w:val="both"/>
        <w:rPr>
          <w:rFonts w:ascii="Arial" w:hAnsi="Arial" w:cs="Arial"/>
          <w:sz w:val="24"/>
        </w:rPr>
      </w:pPr>
    </w:p>
    <w:tbl>
      <w:tblPr>
        <w:tblStyle w:val="TableGrid16"/>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575030" w:rsidRPr="00575030" w:rsidTr="00575030">
        <w:tc>
          <w:tcPr>
            <w:tcW w:w="9558" w:type="dxa"/>
            <w:gridSpan w:val="6"/>
            <w:shd w:val="clear" w:color="auto" w:fill="17365D" w:themeFill="text2" w:themeFillShade="BF"/>
          </w:tcPr>
          <w:p w:rsidR="00575030" w:rsidRPr="00575030" w:rsidRDefault="00575030" w:rsidP="00561F8E">
            <w:pPr>
              <w:pStyle w:val="Heading4"/>
              <w:spacing w:before="0"/>
              <w:outlineLvl w:val="3"/>
            </w:pPr>
            <w:r w:rsidRPr="00561F8E">
              <w:rPr>
                <w:color w:val="FFFFFF" w:themeColor="background1"/>
                <w:sz w:val="28"/>
              </w:rPr>
              <w:t>1.0 Policy and Procedures</w:t>
            </w:r>
          </w:p>
        </w:tc>
      </w:tr>
      <w:tr w:rsidR="00575030" w:rsidRPr="00575030" w:rsidTr="00575030">
        <w:tc>
          <w:tcPr>
            <w:tcW w:w="720" w:type="dxa"/>
          </w:tcPr>
          <w:p w:rsidR="00575030" w:rsidRPr="00575030" w:rsidRDefault="00575030" w:rsidP="00575030"/>
        </w:tc>
        <w:tc>
          <w:tcPr>
            <w:tcW w:w="4176" w:type="dxa"/>
            <w:gridSpan w:val="2"/>
          </w:tcPr>
          <w:p w:rsidR="00575030" w:rsidRPr="00575030" w:rsidRDefault="00575030" w:rsidP="00575030"/>
        </w:tc>
        <w:tc>
          <w:tcPr>
            <w:tcW w:w="720" w:type="dxa"/>
            <w:gridSpan w:val="2"/>
          </w:tcPr>
          <w:p w:rsidR="00575030" w:rsidRPr="00575030" w:rsidRDefault="00575030" w:rsidP="00575030"/>
        </w:tc>
        <w:tc>
          <w:tcPr>
            <w:tcW w:w="3942" w:type="dxa"/>
          </w:tcPr>
          <w:p w:rsidR="00575030" w:rsidRPr="00575030" w:rsidRDefault="00575030" w:rsidP="00575030"/>
        </w:tc>
      </w:tr>
      <w:tr w:rsidR="00575030" w:rsidRPr="00575030" w:rsidTr="00575030">
        <w:tc>
          <w:tcPr>
            <w:tcW w:w="4896" w:type="dxa"/>
            <w:gridSpan w:val="3"/>
            <w:tcBorders>
              <w:bottom w:val="single" w:sz="12" w:space="0" w:color="17365D" w:themeColor="text2" w:themeShade="BF"/>
              <w:right w:val="single" w:sz="12" w:space="0" w:color="17365D" w:themeColor="text2" w:themeShade="BF"/>
            </w:tcBorders>
            <w:vAlign w:val="center"/>
          </w:tcPr>
          <w:p w:rsidR="00575030" w:rsidRPr="00561F8E" w:rsidRDefault="00575030" w:rsidP="00575030">
            <w:pPr>
              <w:jc w:val="center"/>
              <w:rPr>
                <w:rStyle w:val="BookTitle"/>
              </w:rPr>
            </w:pPr>
            <w:r w:rsidRPr="00561F8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575030" w:rsidRPr="00561F8E" w:rsidRDefault="00575030" w:rsidP="00575030">
            <w:pPr>
              <w:jc w:val="center"/>
              <w:rPr>
                <w:rStyle w:val="BookTitle"/>
              </w:rPr>
            </w:pPr>
            <w:r w:rsidRPr="00561F8E">
              <w:rPr>
                <w:rStyle w:val="BookTitle"/>
              </w:rPr>
              <w:t>Measures</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The agency shall maintain information about each Non-Medical Case Manager’s caseload, which includes, at a minimum:</w:t>
            </w:r>
          </w:p>
          <w:p w:rsidR="00575030" w:rsidRPr="00561F8E" w:rsidRDefault="00C74653" w:rsidP="001B1B43">
            <w:pPr>
              <w:pStyle w:val="ListParagraph"/>
              <w:numPr>
                <w:ilvl w:val="0"/>
                <w:numId w:val="78"/>
              </w:numPr>
            </w:pPr>
            <w:r w:rsidRPr="00561F8E">
              <w:t xml:space="preserve">Assigned </w:t>
            </w:r>
            <w:r w:rsidR="00575030" w:rsidRPr="00561F8E">
              <w:t>non-medical case manager;</w:t>
            </w:r>
          </w:p>
          <w:p w:rsidR="00575030" w:rsidRPr="00561F8E" w:rsidRDefault="00C74653" w:rsidP="001B1B43">
            <w:pPr>
              <w:pStyle w:val="ListParagraph"/>
              <w:numPr>
                <w:ilvl w:val="0"/>
                <w:numId w:val="78"/>
              </w:numPr>
            </w:pPr>
            <w:r w:rsidRPr="00561F8E">
              <w:t xml:space="preserve">Number </w:t>
            </w:r>
            <w:r w:rsidR="00575030" w:rsidRPr="00561F8E">
              <w:t>of cases per full time equivalent (FTE); and</w:t>
            </w:r>
          </w:p>
          <w:p w:rsidR="00575030" w:rsidRPr="00561F8E" w:rsidRDefault="00C74653" w:rsidP="001B1B43">
            <w:pPr>
              <w:pStyle w:val="ListParagraph"/>
              <w:numPr>
                <w:ilvl w:val="0"/>
                <w:numId w:val="78"/>
              </w:numPr>
            </w:pPr>
            <w:r w:rsidRPr="00561F8E">
              <w:lastRenderedPageBreak/>
              <w:t>The</w:t>
            </w:r>
            <w:r w:rsidR="00575030" w:rsidRPr="00561F8E">
              <w:t xml:space="preserve"> acuity of each consumer.</w:t>
            </w:r>
          </w:p>
          <w:p w:rsidR="00C74653" w:rsidRPr="00561F8E" w:rsidRDefault="00C74653" w:rsidP="00C74653">
            <w:pPr>
              <w:pStyle w:val="ListParagraph"/>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lastRenderedPageBreak/>
              <w:t>1.1</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Documentation in agency records</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lastRenderedPageBreak/>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All Non-Medical Case Managers must meet at least one of the following staff qualifications:</w:t>
            </w:r>
          </w:p>
          <w:p w:rsidR="00575030" w:rsidRPr="00561F8E" w:rsidRDefault="00C74653" w:rsidP="003D44F2">
            <w:pPr>
              <w:numPr>
                <w:ilvl w:val="0"/>
                <w:numId w:val="14"/>
              </w:numPr>
            </w:pPr>
            <w:r w:rsidRPr="00561F8E">
              <w:t>An associate’s in social science field and at least one (1) year of case management experience or bachelor’s degree in social services; or</w:t>
            </w:r>
          </w:p>
          <w:p w:rsidR="00575030" w:rsidRPr="00561F8E" w:rsidRDefault="00C74653" w:rsidP="003D44F2">
            <w:pPr>
              <w:numPr>
                <w:ilvl w:val="0"/>
                <w:numId w:val="14"/>
              </w:numPr>
            </w:pPr>
            <w:r w:rsidRPr="00561F8E">
              <w:t>I</w:t>
            </w:r>
            <w:r w:rsidR="00575030" w:rsidRPr="00561F8E">
              <w:t>ndividuals with an associate’s or bachelor’s degree in another field must have at least one year of direct HIV/AIDS case management experience</w:t>
            </w:r>
          </w:p>
          <w:p w:rsidR="00561F8E" w:rsidRDefault="00575030" w:rsidP="003D44F2">
            <w:pPr>
              <w:numPr>
                <w:ilvl w:val="0"/>
                <w:numId w:val="14"/>
              </w:numPr>
            </w:pPr>
            <w:r w:rsidRPr="00561F8E">
              <w:t>2 years of verifiable experience case managing individuals with HIV at a</w:t>
            </w:r>
            <w:bookmarkStart w:id="74" w:name="_GoBack"/>
            <w:bookmarkEnd w:id="74"/>
            <w:r w:rsidRPr="00561F8E">
              <w:t xml:space="preserve">n established agency that can substitute on a year-for-year basis for an Associate’s degree. </w:t>
            </w:r>
          </w:p>
          <w:p w:rsidR="00561F8E" w:rsidRDefault="00561F8E" w:rsidP="00561F8E"/>
          <w:p w:rsidR="00575030" w:rsidRPr="00C47DFE" w:rsidRDefault="00575030" w:rsidP="00561F8E">
            <w:pPr>
              <w:rPr>
                <w:sz w:val="22"/>
              </w:rPr>
            </w:pPr>
            <w:r w:rsidRPr="00C47DFE">
              <w:rPr>
                <w:b/>
                <w:sz w:val="22"/>
              </w:rPr>
              <w:t>Note: Use of this qualification must be preapproved by the recipient.</w:t>
            </w:r>
          </w:p>
          <w:p w:rsidR="00C74653" w:rsidRPr="00561F8E" w:rsidRDefault="00C74653" w:rsidP="00C74653">
            <w:pPr>
              <w:ind w:left="360"/>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t>1.2</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Appropriate degrees, licensure, and/or certification in personnel file</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1.3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Non-Medical Case Management supervisors must meet the following requirement:</w:t>
            </w:r>
          </w:p>
          <w:p w:rsidR="00575030" w:rsidRPr="00561F8E" w:rsidRDefault="00575030" w:rsidP="001B1B43">
            <w:pPr>
              <w:pStyle w:val="ListParagraph"/>
              <w:numPr>
                <w:ilvl w:val="0"/>
                <w:numId w:val="79"/>
              </w:numPr>
            </w:pPr>
            <w:r w:rsidRPr="00561F8E">
              <w:rPr>
                <w:szCs w:val="24"/>
              </w:rPr>
              <w:t xml:space="preserve">Hold a </w:t>
            </w:r>
            <w:r w:rsidRPr="00561F8E">
              <w:rPr>
                <w:rFonts w:cs="Calibri"/>
                <w:szCs w:val="24"/>
              </w:rPr>
              <w:t>Master’s Degree level professional in the fields of mental health, social work, counseling, social science or nursing</w:t>
            </w:r>
          </w:p>
          <w:p w:rsidR="00C74653" w:rsidRPr="00561F8E" w:rsidRDefault="00C74653" w:rsidP="00C74653">
            <w:pPr>
              <w:pStyle w:val="ListParagraph"/>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t>1.3</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 xml:space="preserve"> Appropriate degrees, licensure and/or certification in personnel file</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 xml:space="preserve">1.4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Non-Medical Case Management supervisors and Non-Medical Case Managers shall complete:</w:t>
            </w:r>
          </w:p>
          <w:p w:rsidR="00575030" w:rsidRPr="00561F8E" w:rsidRDefault="00575030" w:rsidP="001B1B43">
            <w:pPr>
              <w:pStyle w:val="ListParagraph"/>
              <w:numPr>
                <w:ilvl w:val="0"/>
                <w:numId w:val="79"/>
              </w:numPr>
            </w:pPr>
            <w:r w:rsidRPr="00561F8E">
              <w:t>HIV/AIDS 101 within three (3) months of hire;</w:t>
            </w:r>
          </w:p>
          <w:p w:rsidR="00575030" w:rsidRPr="00561F8E" w:rsidRDefault="00575030" w:rsidP="001B1B43">
            <w:pPr>
              <w:pStyle w:val="ListParagraph"/>
              <w:numPr>
                <w:ilvl w:val="0"/>
                <w:numId w:val="79"/>
              </w:numPr>
            </w:pPr>
            <w:r w:rsidRPr="00561F8E">
              <w:t>The Florida Caribbean AETC Case Manager modules within six (6) months of hire; and</w:t>
            </w:r>
          </w:p>
          <w:p w:rsidR="00575030" w:rsidRPr="00561F8E" w:rsidRDefault="00575030" w:rsidP="001B1B43">
            <w:pPr>
              <w:pStyle w:val="ListParagraph"/>
              <w:numPr>
                <w:ilvl w:val="0"/>
                <w:numId w:val="79"/>
              </w:numPr>
            </w:pPr>
            <w:r w:rsidRPr="00561F8E">
              <w:t xml:space="preserve">HIV/AIDS 501 courses within </w:t>
            </w:r>
            <w:r w:rsidRPr="00561F8E">
              <w:lastRenderedPageBreak/>
              <w:t>one (1) year of hire.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lastRenderedPageBreak/>
              <w:t>1.4</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Documentation of the following will be in the employee file:</w:t>
            </w:r>
          </w:p>
          <w:p w:rsidR="00575030" w:rsidRPr="00561F8E" w:rsidRDefault="00575030" w:rsidP="001B1B43">
            <w:pPr>
              <w:pStyle w:val="ListParagraph"/>
              <w:numPr>
                <w:ilvl w:val="0"/>
                <w:numId w:val="80"/>
              </w:numPr>
            </w:pPr>
            <w:r w:rsidRPr="00561F8E">
              <w:t>Proficiency certification within one year;</w:t>
            </w:r>
          </w:p>
          <w:p w:rsidR="00575030" w:rsidRPr="00561F8E" w:rsidRDefault="00575030" w:rsidP="001B1B43">
            <w:pPr>
              <w:pStyle w:val="ListParagraph"/>
              <w:numPr>
                <w:ilvl w:val="0"/>
                <w:numId w:val="80"/>
              </w:numPr>
            </w:pPr>
            <w:r w:rsidRPr="00561F8E">
              <w:t>HIV/AIDS 101 dated within three (3) months of hire;</w:t>
            </w:r>
          </w:p>
          <w:p w:rsidR="00575030" w:rsidRPr="00561F8E" w:rsidRDefault="00575030" w:rsidP="001B1B43">
            <w:pPr>
              <w:pStyle w:val="ListParagraph"/>
              <w:numPr>
                <w:ilvl w:val="0"/>
                <w:numId w:val="80"/>
              </w:numPr>
            </w:pPr>
            <w:r w:rsidRPr="00561F8E">
              <w:t>501 certificate dated within 1 year of hire;</w:t>
            </w:r>
          </w:p>
          <w:p w:rsidR="00575030" w:rsidRPr="00561F8E" w:rsidRDefault="00575030" w:rsidP="001B1B43">
            <w:pPr>
              <w:pStyle w:val="ListParagraph"/>
              <w:numPr>
                <w:ilvl w:val="0"/>
                <w:numId w:val="80"/>
              </w:numPr>
            </w:pPr>
            <w:r w:rsidRPr="00561F8E">
              <w:t xml:space="preserve">Proof of attendance, certificate or other </w:t>
            </w:r>
            <w:r w:rsidRPr="00561F8E">
              <w:lastRenderedPageBreak/>
              <w:t>documentation including training subject matter, date(s) of attendance hour in agency  record;</w:t>
            </w:r>
          </w:p>
          <w:p w:rsidR="00575030" w:rsidRPr="00561F8E" w:rsidRDefault="00575030" w:rsidP="001B1B43">
            <w:pPr>
              <w:pStyle w:val="ListParagraph"/>
              <w:numPr>
                <w:ilvl w:val="0"/>
                <w:numId w:val="80"/>
              </w:numPr>
            </w:pPr>
            <w:r w:rsidRPr="00561F8E">
              <w:t>Training certificate</w:t>
            </w:r>
          </w:p>
          <w:p w:rsidR="00C74653" w:rsidRPr="00561F8E" w:rsidRDefault="00C74653" w:rsidP="00C74653">
            <w:pPr>
              <w:pStyle w:val="ListParagraph"/>
            </w:pP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lastRenderedPageBreak/>
              <w:t>1.5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C74653" w:rsidRDefault="00575030" w:rsidP="00C74653">
            <w:r w:rsidRPr="00561F8E">
              <w:t>Non-Medical Case Management supervisors shall have 12 hours of training annually as approved by the Recipient Office. At least six (6) of the twelve (12) hours shall be leadership training.</w:t>
            </w:r>
          </w:p>
          <w:p w:rsidR="00561F8E" w:rsidRPr="00561F8E" w:rsidRDefault="00561F8E" w:rsidP="00C7465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t>1.5</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Documentation of the training shall be in the employee training record. Training certificates shall be in the employee file.</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1.6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Non-Medical Case Managers shall receive 15 hours of training annually. Training shall be approved by the Recipient.</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t>1.6</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Documentation of the training subject matter, date(s) of attendance, and hours in training shall be in the training record. Training certificates shall be in the employee file.</w:t>
            </w:r>
          </w:p>
          <w:p w:rsidR="00C74653" w:rsidRPr="00561F8E" w:rsidRDefault="00C74653" w:rsidP="00575030"/>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1.7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Non-Medical Case Management supervisors and non-medicals case managers shall comply with all training requirements mandated by the Orlando EMA Ryan White Part A Recipient’s Office.</w:t>
            </w:r>
          </w:p>
          <w:p w:rsidR="00C74653" w:rsidRPr="00561F8E" w:rsidRDefault="00C74653" w:rsidP="00575030"/>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t>1.7</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Documentation of all training shall be in the personnel file.</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1.8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Non-Medical Case Managers must be aware of and able to refer and link consumers to providers qualified to provide Project AIDS Care Case Management services to eligible consumers.</w:t>
            </w:r>
          </w:p>
          <w:p w:rsidR="00C74653" w:rsidRPr="00561F8E" w:rsidRDefault="00C74653" w:rsidP="00575030"/>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t>1.8</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Documentation of all referrals will be noted in the consumer’s electronic data management system.</w:t>
            </w:r>
          </w:p>
        </w:tc>
      </w:tr>
    </w:tbl>
    <w:p w:rsidR="00575030" w:rsidRPr="00575030" w:rsidRDefault="00575030" w:rsidP="00575030">
      <w:pPr>
        <w:spacing w:after="0" w:line="240" w:lineRule="auto"/>
        <w:rPr>
          <w:rFonts w:ascii="Arial" w:hAnsi="Arial" w:cs="Arial"/>
          <w:sz w:val="24"/>
        </w:rPr>
      </w:pPr>
    </w:p>
    <w:tbl>
      <w:tblPr>
        <w:tblStyle w:val="TableGrid16"/>
        <w:tblW w:w="0" w:type="auto"/>
        <w:tblBorders>
          <w:top w:val="single" w:sz="12" w:space="0" w:color="0F243E" w:themeColor="text2" w:themeShade="80"/>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5030" w:rsidRPr="00575030" w:rsidTr="00575030">
        <w:tc>
          <w:tcPr>
            <w:tcW w:w="9576" w:type="dxa"/>
            <w:tcBorders>
              <w:top w:val="single" w:sz="12" w:space="0" w:color="0F243E" w:themeColor="text2" w:themeShade="80"/>
              <w:bottom w:val="single" w:sz="12" w:space="0" w:color="0F243E" w:themeColor="text2" w:themeShade="80"/>
            </w:tcBorders>
          </w:tcPr>
          <w:p w:rsidR="00575030" w:rsidRPr="00575030" w:rsidRDefault="00575030" w:rsidP="00C74653">
            <w:pPr>
              <w:pStyle w:val="Heading3"/>
              <w:spacing w:before="0"/>
              <w:outlineLvl w:val="2"/>
            </w:pPr>
            <w:bookmarkStart w:id="75" w:name="_Toc489280911"/>
            <w:r w:rsidRPr="00C74653">
              <w:rPr>
                <w:sz w:val="28"/>
              </w:rPr>
              <w:t>2.0 Eligibility Assessment</w:t>
            </w:r>
            <w:bookmarkEnd w:id="75"/>
          </w:p>
        </w:tc>
      </w:tr>
    </w:tbl>
    <w:p w:rsidR="00575030" w:rsidRPr="00575030" w:rsidRDefault="00575030" w:rsidP="00575030">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C47DFE">
        <w:tc>
          <w:tcPr>
            <w:tcW w:w="9576" w:type="dxa"/>
            <w:tcBorders>
              <w:top w:val="nil"/>
              <w:left w:val="nil"/>
              <w:bottom w:val="nil"/>
              <w:right w:val="nil"/>
            </w:tcBorders>
          </w:tcPr>
          <w:p w:rsidR="008579C9" w:rsidRDefault="00C47DFE" w:rsidP="00C47DFE">
            <w:pPr>
              <w:rPr>
                <w:rFonts w:cs="Arial"/>
              </w:rPr>
            </w:pPr>
            <w:r w:rsidRPr="00575030">
              <w:rPr>
                <w:rFonts w:cs="Arial"/>
              </w:rPr>
              <w:t xml:space="preserve">Non-Medical Case Managers shall determine eligibility for services as evidenced by documentation via an eligibility assessment. </w:t>
            </w:r>
          </w:p>
          <w:p w:rsidR="008579C9" w:rsidRDefault="008579C9" w:rsidP="00C47DFE">
            <w:pPr>
              <w:rPr>
                <w:rFonts w:cs="Arial"/>
              </w:rPr>
            </w:pPr>
          </w:p>
          <w:p w:rsidR="00C47DFE" w:rsidRDefault="00C47DFE" w:rsidP="00C47DFE">
            <w:pPr>
              <w:rPr>
                <w:rFonts w:cs="Arial"/>
              </w:rPr>
            </w:pPr>
            <w:r w:rsidRPr="00575030">
              <w:rPr>
                <w:rFonts w:cs="Arial"/>
              </w:rPr>
              <w:t>Verification that the consumer meets the current eligibility requirements must be obtained prior to payment for services.</w:t>
            </w:r>
          </w:p>
        </w:tc>
      </w:tr>
    </w:tbl>
    <w:p w:rsidR="00575030" w:rsidRDefault="00575030" w:rsidP="00575030">
      <w:pPr>
        <w:spacing w:after="0" w:line="240" w:lineRule="auto"/>
        <w:rPr>
          <w:rFonts w:ascii="Arial" w:hAnsi="Arial" w:cs="Arial"/>
          <w:sz w:val="24"/>
        </w:rPr>
      </w:pPr>
    </w:p>
    <w:p w:rsidR="008579C9" w:rsidRDefault="008579C9" w:rsidP="00575030">
      <w:pPr>
        <w:spacing w:after="0" w:line="240" w:lineRule="auto"/>
        <w:rPr>
          <w:rFonts w:ascii="Arial" w:hAnsi="Arial" w:cs="Arial"/>
          <w:sz w:val="24"/>
        </w:rPr>
      </w:pPr>
    </w:p>
    <w:tbl>
      <w:tblPr>
        <w:tblStyle w:val="TableGrid16"/>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575030" w:rsidRPr="00575030" w:rsidTr="00575030">
        <w:tc>
          <w:tcPr>
            <w:tcW w:w="9558" w:type="dxa"/>
            <w:gridSpan w:val="6"/>
            <w:shd w:val="clear" w:color="auto" w:fill="17365D" w:themeFill="text2" w:themeFillShade="BF"/>
          </w:tcPr>
          <w:p w:rsidR="00575030" w:rsidRPr="00575030" w:rsidRDefault="00575030" w:rsidP="00C74653">
            <w:pPr>
              <w:pStyle w:val="Heading4"/>
              <w:spacing w:before="0"/>
              <w:outlineLvl w:val="3"/>
            </w:pPr>
            <w:r w:rsidRPr="00C74653">
              <w:rPr>
                <w:color w:val="FFFFFF" w:themeColor="background1"/>
                <w:sz w:val="28"/>
              </w:rPr>
              <w:lastRenderedPageBreak/>
              <w:t>2.0 Eligibility Assessment</w:t>
            </w:r>
          </w:p>
        </w:tc>
      </w:tr>
      <w:tr w:rsidR="00575030" w:rsidRPr="00575030" w:rsidTr="00575030">
        <w:tc>
          <w:tcPr>
            <w:tcW w:w="720" w:type="dxa"/>
          </w:tcPr>
          <w:p w:rsidR="00575030" w:rsidRPr="00575030" w:rsidRDefault="00575030" w:rsidP="00575030"/>
        </w:tc>
        <w:tc>
          <w:tcPr>
            <w:tcW w:w="4176" w:type="dxa"/>
            <w:gridSpan w:val="2"/>
          </w:tcPr>
          <w:p w:rsidR="00575030" w:rsidRPr="00575030" w:rsidRDefault="00575030" w:rsidP="00575030"/>
        </w:tc>
        <w:tc>
          <w:tcPr>
            <w:tcW w:w="720" w:type="dxa"/>
            <w:gridSpan w:val="2"/>
          </w:tcPr>
          <w:p w:rsidR="00575030" w:rsidRPr="00575030" w:rsidRDefault="00575030" w:rsidP="00575030"/>
        </w:tc>
        <w:tc>
          <w:tcPr>
            <w:tcW w:w="3942" w:type="dxa"/>
          </w:tcPr>
          <w:p w:rsidR="00575030" w:rsidRPr="00575030" w:rsidRDefault="00575030" w:rsidP="00575030"/>
        </w:tc>
      </w:tr>
      <w:tr w:rsidR="00575030" w:rsidRPr="00575030" w:rsidTr="00575030">
        <w:tc>
          <w:tcPr>
            <w:tcW w:w="4896" w:type="dxa"/>
            <w:gridSpan w:val="3"/>
            <w:tcBorders>
              <w:bottom w:val="single" w:sz="12" w:space="0" w:color="17365D" w:themeColor="text2" w:themeShade="BF"/>
              <w:right w:val="single" w:sz="12" w:space="0" w:color="17365D" w:themeColor="text2" w:themeShade="BF"/>
            </w:tcBorders>
            <w:vAlign w:val="center"/>
          </w:tcPr>
          <w:p w:rsidR="00575030" w:rsidRPr="00561F8E" w:rsidRDefault="00575030" w:rsidP="00C74653">
            <w:pPr>
              <w:jc w:val="center"/>
              <w:rPr>
                <w:rStyle w:val="BookTitle"/>
              </w:rPr>
            </w:pPr>
            <w:r w:rsidRPr="00561F8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575030" w:rsidRPr="00561F8E" w:rsidRDefault="00575030" w:rsidP="00C74653">
            <w:pPr>
              <w:jc w:val="center"/>
              <w:rPr>
                <w:rStyle w:val="BookTitle"/>
              </w:rPr>
            </w:pPr>
            <w:r w:rsidRPr="00561F8E">
              <w:rPr>
                <w:rStyle w:val="BookTitle"/>
              </w:rPr>
              <w:t>Measures</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C74653" w:rsidRDefault="00575030" w:rsidP="00575030">
            <w:pPr>
              <w:rPr>
                <w:sz w:val="22"/>
              </w:rPr>
            </w:pPr>
            <w:r w:rsidRPr="00C74653">
              <w:rPr>
                <w:sz w:val="22"/>
              </w:rPr>
              <w:t>2.1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C74653" w:rsidRDefault="00575030" w:rsidP="00575030">
            <w:pPr>
              <w:rPr>
                <w:sz w:val="22"/>
              </w:rPr>
            </w:pPr>
            <w:r w:rsidRPr="00C74653">
              <w:rPr>
                <w:sz w:val="22"/>
              </w:rPr>
              <w:t>Eligibility assessment shall ensure all required documents are present in the Provide Enterprise (PE) record. Consumers shall be informed of their right to: confidentiality in accordance with state and federal laws, choice of providers, explanation of grievance procedures, and Consumer Rights and Responsibilities.</w:t>
            </w:r>
          </w:p>
          <w:p w:rsidR="00C74653" w:rsidRPr="00C74653" w:rsidRDefault="00C74653" w:rsidP="00575030">
            <w:pPr>
              <w:rPr>
                <w:sz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C74653" w:rsidRDefault="00575030" w:rsidP="00575030">
            <w:pPr>
              <w:rPr>
                <w:sz w:val="22"/>
              </w:rPr>
            </w:pPr>
            <w:r w:rsidRPr="00C74653">
              <w:rPr>
                <w:sz w:val="22"/>
              </w:rPr>
              <w:t>2.1</w:t>
            </w:r>
          </w:p>
        </w:tc>
        <w:tc>
          <w:tcPr>
            <w:tcW w:w="3960" w:type="dxa"/>
            <w:gridSpan w:val="2"/>
            <w:tcBorders>
              <w:top w:val="single" w:sz="12" w:space="0" w:color="17365D" w:themeColor="text2" w:themeShade="BF"/>
              <w:bottom w:val="single" w:sz="12" w:space="0" w:color="17365D" w:themeColor="text2" w:themeShade="BF"/>
            </w:tcBorders>
          </w:tcPr>
          <w:p w:rsidR="00575030" w:rsidRPr="00C74653" w:rsidRDefault="00575030" w:rsidP="00575030">
            <w:pPr>
              <w:rPr>
                <w:sz w:val="22"/>
              </w:rPr>
            </w:pPr>
            <w:r w:rsidRPr="00C74653">
              <w:rPr>
                <w:sz w:val="22"/>
              </w:rPr>
              <w:t>No later than five (5) working days from receipt of referral or date of request for service the following shall be completed:</w:t>
            </w:r>
          </w:p>
          <w:p w:rsidR="00575030" w:rsidRPr="00C74653" w:rsidRDefault="00575030" w:rsidP="001B1B43">
            <w:pPr>
              <w:pStyle w:val="ListParagraph"/>
              <w:numPr>
                <w:ilvl w:val="0"/>
                <w:numId w:val="81"/>
              </w:numPr>
              <w:rPr>
                <w:sz w:val="22"/>
              </w:rPr>
            </w:pPr>
            <w:r w:rsidRPr="00C74653">
              <w:rPr>
                <w:sz w:val="22"/>
              </w:rPr>
              <w:t>Consumer chart;</w:t>
            </w:r>
          </w:p>
          <w:p w:rsidR="00575030" w:rsidRPr="00C74653" w:rsidRDefault="00575030" w:rsidP="001B1B43">
            <w:pPr>
              <w:pStyle w:val="ListParagraph"/>
              <w:numPr>
                <w:ilvl w:val="0"/>
                <w:numId w:val="81"/>
              </w:numPr>
              <w:rPr>
                <w:sz w:val="22"/>
              </w:rPr>
            </w:pPr>
            <w:r w:rsidRPr="00C74653">
              <w:rPr>
                <w:sz w:val="22"/>
              </w:rPr>
              <w:t>Authorization of Release of Confidential or Protected Health Information</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C74653" w:rsidRDefault="00575030" w:rsidP="00575030">
            <w:pPr>
              <w:rPr>
                <w:sz w:val="22"/>
              </w:rPr>
            </w:pPr>
            <w:r w:rsidRPr="00C74653">
              <w:rPr>
                <w:sz w:val="22"/>
              </w:rPr>
              <w:t>2.2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C74653" w:rsidRDefault="00575030" w:rsidP="00575030">
            <w:pPr>
              <w:rPr>
                <w:sz w:val="22"/>
              </w:rPr>
            </w:pPr>
            <w:r w:rsidRPr="00C74653">
              <w:rPr>
                <w:sz w:val="22"/>
              </w:rPr>
              <w:t>As part of the eligibility assessment, HIV status, residency and income shall be verified. Each consumer shall be recertified every 6 months or sooner if benefits status, residency or income has changed.</w:t>
            </w:r>
          </w:p>
          <w:p w:rsidR="00C74653" w:rsidRPr="00C74653" w:rsidRDefault="00C74653" w:rsidP="00575030">
            <w:pPr>
              <w:rPr>
                <w:sz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C74653" w:rsidRDefault="00575030" w:rsidP="00575030">
            <w:pPr>
              <w:rPr>
                <w:sz w:val="22"/>
              </w:rPr>
            </w:pPr>
            <w:r w:rsidRPr="00C74653">
              <w:rPr>
                <w:sz w:val="22"/>
              </w:rPr>
              <w:t>2.2</w:t>
            </w:r>
          </w:p>
        </w:tc>
        <w:tc>
          <w:tcPr>
            <w:tcW w:w="3960" w:type="dxa"/>
            <w:gridSpan w:val="2"/>
            <w:tcBorders>
              <w:top w:val="single" w:sz="12" w:space="0" w:color="17365D" w:themeColor="text2" w:themeShade="BF"/>
              <w:bottom w:val="single" w:sz="12" w:space="0" w:color="17365D" w:themeColor="text2" w:themeShade="BF"/>
            </w:tcBorders>
          </w:tcPr>
          <w:p w:rsidR="00575030" w:rsidRPr="00C74653" w:rsidRDefault="00575030" w:rsidP="00575030">
            <w:pPr>
              <w:rPr>
                <w:sz w:val="22"/>
              </w:rPr>
            </w:pPr>
            <w:r w:rsidRPr="00C74653">
              <w:rPr>
                <w:sz w:val="22"/>
              </w:rPr>
              <w:t>Documentation of residency and income shall be maintained in the consumer record per Orlando EMA requirements.</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C74653" w:rsidRDefault="00575030" w:rsidP="00575030">
            <w:pPr>
              <w:rPr>
                <w:sz w:val="22"/>
              </w:rPr>
            </w:pPr>
            <w:r w:rsidRPr="00C74653">
              <w:rPr>
                <w:sz w:val="22"/>
              </w:rPr>
              <w:t>2.3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C74653" w:rsidRDefault="00575030" w:rsidP="00575030">
            <w:pPr>
              <w:rPr>
                <w:sz w:val="22"/>
              </w:rPr>
            </w:pPr>
            <w:r w:rsidRPr="00C74653">
              <w:rPr>
                <w:sz w:val="22"/>
              </w:rPr>
              <w:t>Consumers shall be screened for other funding sources and should be provided assistance in enrolling ibn all eligible sources.</w:t>
            </w:r>
          </w:p>
          <w:p w:rsidR="00C74653" w:rsidRPr="00C74653" w:rsidRDefault="00C74653" w:rsidP="00575030">
            <w:pPr>
              <w:rPr>
                <w:sz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C74653" w:rsidRDefault="00575030" w:rsidP="00575030">
            <w:pPr>
              <w:rPr>
                <w:sz w:val="22"/>
              </w:rPr>
            </w:pPr>
            <w:r w:rsidRPr="00C74653">
              <w:rPr>
                <w:sz w:val="22"/>
              </w:rPr>
              <w:t>2.3</w:t>
            </w:r>
          </w:p>
        </w:tc>
        <w:tc>
          <w:tcPr>
            <w:tcW w:w="3960" w:type="dxa"/>
            <w:gridSpan w:val="2"/>
            <w:tcBorders>
              <w:top w:val="single" w:sz="12" w:space="0" w:color="17365D" w:themeColor="text2" w:themeShade="BF"/>
              <w:bottom w:val="single" w:sz="12" w:space="0" w:color="17365D" w:themeColor="text2" w:themeShade="BF"/>
            </w:tcBorders>
          </w:tcPr>
          <w:p w:rsidR="00575030" w:rsidRPr="00C74653" w:rsidRDefault="00575030" w:rsidP="00575030">
            <w:pPr>
              <w:rPr>
                <w:sz w:val="22"/>
              </w:rPr>
            </w:pPr>
            <w:r w:rsidRPr="00C74653">
              <w:rPr>
                <w:sz w:val="22"/>
              </w:rPr>
              <w:t>Documentation of ineligibility for other funding sources shall be maintained in the consumer record.</w:t>
            </w:r>
          </w:p>
        </w:tc>
      </w:tr>
    </w:tbl>
    <w:p w:rsidR="00575030" w:rsidRPr="00575030" w:rsidRDefault="00575030" w:rsidP="00575030">
      <w:pPr>
        <w:spacing w:after="0" w:line="240" w:lineRule="auto"/>
        <w:jc w:val="both"/>
        <w:rPr>
          <w:rFonts w:ascii="Arial" w:hAnsi="Arial" w:cs="Arial"/>
          <w:sz w:val="24"/>
        </w:rPr>
      </w:pPr>
    </w:p>
    <w:tbl>
      <w:tblPr>
        <w:tblStyle w:val="TableGrid16"/>
        <w:tblW w:w="0" w:type="auto"/>
        <w:tblLook w:val="04A0" w:firstRow="1" w:lastRow="0" w:firstColumn="1" w:lastColumn="0" w:noHBand="0" w:noVBand="1"/>
      </w:tblPr>
      <w:tblGrid>
        <w:gridCol w:w="9576"/>
      </w:tblGrid>
      <w:tr w:rsidR="00575030" w:rsidRPr="00575030" w:rsidTr="00575030">
        <w:tc>
          <w:tcPr>
            <w:tcW w:w="9576" w:type="dxa"/>
            <w:tcBorders>
              <w:top w:val="single" w:sz="12" w:space="0" w:color="0F243E" w:themeColor="text2" w:themeShade="80"/>
              <w:left w:val="nil"/>
              <w:bottom w:val="single" w:sz="12" w:space="0" w:color="0F243E" w:themeColor="text2" w:themeShade="80"/>
              <w:right w:val="nil"/>
            </w:tcBorders>
          </w:tcPr>
          <w:p w:rsidR="00575030" w:rsidRPr="00575030" w:rsidRDefault="00575030" w:rsidP="00C74653">
            <w:pPr>
              <w:pStyle w:val="Heading3"/>
              <w:spacing w:before="0"/>
              <w:outlineLvl w:val="2"/>
            </w:pPr>
            <w:bookmarkStart w:id="76" w:name="_Toc489280912"/>
            <w:r w:rsidRPr="00C74653">
              <w:rPr>
                <w:sz w:val="28"/>
              </w:rPr>
              <w:t>3.0 Consumer Assessment and Care Plan</w:t>
            </w:r>
            <w:bookmarkEnd w:id="76"/>
          </w:p>
        </w:tc>
      </w:tr>
    </w:tbl>
    <w:p w:rsidR="00575030" w:rsidRPr="00575030" w:rsidRDefault="00575030" w:rsidP="00575030">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C47DFE">
        <w:tc>
          <w:tcPr>
            <w:tcW w:w="9576" w:type="dxa"/>
            <w:tcBorders>
              <w:top w:val="nil"/>
              <w:left w:val="nil"/>
              <w:bottom w:val="nil"/>
              <w:right w:val="nil"/>
            </w:tcBorders>
          </w:tcPr>
          <w:p w:rsidR="00C47DFE" w:rsidRDefault="00C47DFE" w:rsidP="00C47DFE">
            <w:pPr>
              <w:rPr>
                <w:rFonts w:cs="Arial"/>
              </w:rPr>
            </w:pPr>
            <w:r w:rsidRPr="00575030">
              <w:rPr>
                <w:rFonts w:cs="Arial"/>
              </w:rPr>
              <w:t>Non-Medical Case Managers shall conduct a face-to-face assessment of each consumer which shall be documented in the consumer’s record in Provide Enterprise (PE); such assessment shall include barriers (perceived and actual) to access and retention in care. A care plan shall be developed, in collaboration with the consumer, based on the results of the assessment. The care plan shall outline incremental steps to reaching a goal and who is responsible for what activity. The activities shall be measurable with timeframes for the completion of each activity. Outcomes of the care plan activities shall be noted in the Non-Medical Case Management record.</w:t>
            </w:r>
          </w:p>
        </w:tc>
      </w:tr>
    </w:tbl>
    <w:p w:rsidR="00575030" w:rsidRPr="00575030" w:rsidRDefault="00575030" w:rsidP="00575030">
      <w:pPr>
        <w:spacing w:after="0" w:line="240" w:lineRule="auto"/>
        <w:jc w:val="both"/>
        <w:rPr>
          <w:rFonts w:ascii="Arial" w:hAnsi="Arial" w:cs="Arial"/>
          <w:sz w:val="24"/>
        </w:rPr>
      </w:pPr>
    </w:p>
    <w:tbl>
      <w:tblPr>
        <w:tblStyle w:val="TableGrid16"/>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575030" w:rsidRPr="00575030" w:rsidTr="00575030">
        <w:tc>
          <w:tcPr>
            <w:tcW w:w="9558" w:type="dxa"/>
            <w:gridSpan w:val="6"/>
            <w:shd w:val="clear" w:color="auto" w:fill="17365D" w:themeFill="text2" w:themeFillShade="BF"/>
          </w:tcPr>
          <w:p w:rsidR="00575030" w:rsidRPr="00575030" w:rsidRDefault="00575030" w:rsidP="00C74653">
            <w:pPr>
              <w:pStyle w:val="Heading4"/>
              <w:spacing w:before="0"/>
              <w:outlineLvl w:val="3"/>
            </w:pPr>
            <w:r w:rsidRPr="00C74653">
              <w:rPr>
                <w:color w:val="FFFFFF" w:themeColor="background1"/>
                <w:sz w:val="28"/>
              </w:rPr>
              <w:t>3.0 Consumer Assessment and Care Plan</w:t>
            </w:r>
          </w:p>
        </w:tc>
      </w:tr>
      <w:tr w:rsidR="00575030" w:rsidRPr="00575030" w:rsidTr="00575030">
        <w:tc>
          <w:tcPr>
            <w:tcW w:w="720" w:type="dxa"/>
          </w:tcPr>
          <w:p w:rsidR="00575030" w:rsidRPr="00575030" w:rsidRDefault="00575030" w:rsidP="00575030"/>
        </w:tc>
        <w:tc>
          <w:tcPr>
            <w:tcW w:w="4176" w:type="dxa"/>
            <w:gridSpan w:val="2"/>
          </w:tcPr>
          <w:p w:rsidR="00575030" w:rsidRPr="00575030" w:rsidRDefault="00575030" w:rsidP="00575030"/>
        </w:tc>
        <w:tc>
          <w:tcPr>
            <w:tcW w:w="720" w:type="dxa"/>
            <w:gridSpan w:val="2"/>
          </w:tcPr>
          <w:p w:rsidR="00575030" w:rsidRPr="00575030" w:rsidRDefault="00575030" w:rsidP="00575030"/>
        </w:tc>
        <w:tc>
          <w:tcPr>
            <w:tcW w:w="3942" w:type="dxa"/>
          </w:tcPr>
          <w:p w:rsidR="00575030" w:rsidRPr="00575030" w:rsidRDefault="00575030" w:rsidP="00575030"/>
        </w:tc>
      </w:tr>
      <w:tr w:rsidR="00575030" w:rsidRPr="00575030" w:rsidTr="00575030">
        <w:tc>
          <w:tcPr>
            <w:tcW w:w="4896" w:type="dxa"/>
            <w:gridSpan w:val="3"/>
            <w:tcBorders>
              <w:bottom w:val="single" w:sz="12" w:space="0" w:color="17365D" w:themeColor="text2" w:themeShade="BF"/>
              <w:right w:val="single" w:sz="12" w:space="0" w:color="17365D" w:themeColor="text2" w:themeShade="BF"/>
            </w:tcBorders>
            <w:vAlign w:val="center"/>
          </w:tcPr>
          <w:p w:rsidR="00575030" w:rsidRPr="00561F8E" w:rsidRDefault="00575030" w:rsidP="00575030">
            <w:pPr>
              <w:jc w:val="center"/>
              <w:rPr>
                <w:rStyle w:val="BookTitle"/>
              </w:rPr>
            </w:pPr>
            <w:r w:rsidRPr="00561F8E">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575030" w:rsidRPr="00561F8E" w:rsidRDefault="00575030" w:rsidP="00575030">
            <w:pPr>
              <w:jc w:val="center"/>
              <w:rPr>
                <w:rStyle w:val="BookTitle"/>
              </w:rPr>
            </w:pPr>
            <w:r w:rsidRPr="00561F8E">
              <w:rPr>
                <w:rStyle w:val="BookTitle"/>
              </w:rPr>
              <w:t>Measures</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 xml:space="preserve">An individual care plan shall be developed with the participation of the consumer within 30-days of intake. The care plan shall be based on prioritized identified needs, acuity </w:t>
            </w:r>
            <w:r w:rsidRPr="00561F8E">
              <w:lastRenderedPageBreak/>
              <w:t>level, and shall address consumer’s cultural needs.</w:t>
            </w:r>
          </w:p>
          <w:p w:rsidR="00C74653" w:rsidRPr="00561F8E" w:rsidRDefault="00C74653" w:rsidP="00575030"/>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lastRenderedPageBreak/>
              <w:t>3.1</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 xml:space="preserve">Care plan shall have consumer’s and/or caregiver’s signature and shall address prioritized consumer needs identified in the assessment, acuity level and </w:t>
            </w:r>
            <w:r w:rsidRPr="00561F8E">
              <w:lastRenderedPageBreak/>
              <w:t>cultural needs.</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lastRenderedPageBreak/>
              <w:t>3.2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Each consumer shall be assisted in developing time frames for the resolution of any barriers to care identified in the assessment and follow-up with the consumer a minimum of every ninety days to ensure service delivery.</w:t>
            </w:r>
          </w:p>
          <w:p w:rsidR="00C74653" w:rsidRPr="00561F8E" w:rsidRDefault="00C74653" w:rsidP="00575030"/>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t>3.2</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Care plan and progress notes document the intervention to resolve any barriers to care and or services needed.</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3.3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Non-medical case managers shall verify that consumers are enrolled in primary medical care.</w:t>
            </w:r>
          </w:p>
          <w:p w:rsidR="00C74653" w:rsidRPr="00561F8E" w:rsidRDefault="00C74653" w:rsidP="00575030"/>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t>3.3</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Appointment date and time and laboratory (viral load, CD-4) shall be documented in PE record.</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3.4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Non-Medical Case Managers shall determine the need for medical transportation and facilitate the appropriate conveyance.</w:t>
            </w:r>
          </w:p>
          <w:p w:rsidR="00C74653" w:rsidRPr="00561F8E" w:rsidRDefault="00C74653" w:rsidP="00575030"/>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t>3.4</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All bus passes and door-to-door vouchers shall be recorded in Provide Enterprise.</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3.5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561F8E" w:rsidRDefault="00575030" w:rsidP="00575030">
            <w:r w:rsidRPr="00561F8E">
              <w:t>Non-Medical Case Managers shall facilitate oral health referrals for consumers.</w:t>
            </w:r>
          </w:p>
          <w:p w:rsidR="00C74653" w:rsidRPr="00561F8E" w:rsidRDefault="00C74653" w:rsidP="00575030"/>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561F8E" w:rsidRDefault="00575030" w:rsidP="00575030">
            <w:r w:rsidRPr="00561F8E">
              <w:t>3.5</w:t>
            </w:r>
          </w:p>
        </w:tc>
        <w:tc>
          <w:tcPr>
            <w:tcW w:w="3960" w:type="dxa"/>
            <w:gridSpan w:val="2"/>
            <w:tcBorders>
              <w:top w:val="single" w:sz="12" w:space="0" w:color="17365D" w:themeColor="text2" w:themeShade="BF"/>
              <w:bottom w:val="single" w:sz="12" w:space="0" w:color="17365D" w:themeColor="text2" w:themeShade="BF"/>
            </w:tcBorders>
          </w:tcPr>
          <w:p w:rsidR="00575030" w:rsidRPr="00561F8E" w:rsidRDefault="00575030" w:rsidP="00575030">
            <w:r w:rsidRPr="00561F8E">
              <w:t>Oral Health purchase order and treatment plan shall be documented in PE record</w:t>
            </w:r>
          </w:p>
        </w:tc>
      </w:tr>
    </w:tbl>
    <w:p w:rsidR="00575030" w:rsidRDefault="00575030" w:rsidP="00575030">
      <w:pPr>
        <w:spacing w:after="0" w:line="240" w:lineRule="auto"/>
        <w:jc w:val="both"/>
        <w:rPr>
          <w:rFonts w:ascii="Arial" w:hAnsi="Arial" w:cs="Arial"/>
          <w:sz w:val="24"/>
        </w:rPr>
      </w:pPr>
    </w:p>
    <w:tbl>
      <w:tblPr>
        <w:tblStyle w:val="TableGrid16"/>
        <w:tblW w:w="0" w:type="auto"/>
        <w:tblLook w:val="04A0" w:firstRow="1" w:lastRow="0" w:firstColumn="1" w:lastColumn="0" w:noHBand="0" w:noVBand="1"/>
      </w:tblPr>
      <w:tblGrid>
        <w:gridCol w:w="9576"/>
      </w:tblGrid>
      <w:tr w:rsidR="00575030" w:rsidRPr="00575030" w:rsidTr="00575030">
        <w:tc>
          <w:tcPr>
            <w:tcW w:w="9576" w:type="dxa"/>
            <w:tcBorders>
              <w:top w:val="single" w:sz="12" w:space="0" w:color="0F243E" w:themeColor="text2" w:themeShade="80"/>
              <w:left w:val="nil"/>
              <w:bottom w:val="single" w:sz="12" w:space="0" w:color="0F243E" w:themeColor="text2" w:themeShade="80"/>
              <w:right w:val="nil"/>
            </w:tcBorders>
          </w:tcPr>
          <w:p w:rsidR="00575030" w:rsidRPr="00C74653" w:rsidRDefault="00575030" w:rsidP="00C74653">
            <w:pPr>
              <w:pStyle w:val="Heading3"/>
              <w:spacing w:before="0"/>
              <w:outlineLvl w:val="2"/>
              <w:rPr>
                <w:sz w:val="28"/>
              </w:rPr>
            </w:pPr>
            <w:bookmarkStart w:id="77" w:name="_Toc489280913"/>
            <w:r w:rsidRPr="00C74653">
              <w:rPr>
                <w:sz w:val="28"/>
              </w:rPr>
              <w:t>4.0 Documentation</w:t>
            </w:r>
            <w:bookmarkEnd w:id="77"/>
          </w:p>
        </w:tc>
      </w:tr>
    </w:tbl>
    <w:p w:rsidR="00575030" w:rsidRPr="00575030" w:rsidRDefault="00575030" w:rsidP="00575030">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575030">
              <w:rPr>
                <w:rFonts w:cs="Arial"/>
                <w:color w:val="000000"/>
                <w:szCs w:val="24"/>
              </w:rPr>
              <w:t>All Non-Medical Case Management providers are required to maintain accurate documentation in order to submit data on non- medical case management activities in the Ryan White Part A Reporting System (Provide). The submission requirements are detailed within the contract funding application.</w:t>
            </w:r>
          </w:p>
        </w:tc>
      </w:tr>
    </w:tbl>
    <w:p w:rsidR="00575030" w:rsidRPr="00575030" w:rsidRDefault="00575030" w:rsidP="00575030">
      <w:pPr>
        <w:spacing w:after="0" w:line="240" w:lineRule="auto"/>
        <w:jc w:val="both"/>
        <w:rPr>
          <w:rFonts w:ascii="Arial" w:hAnsi="Arial" w:cs="Arial"/>
          <w:sz w:val="24"/>
          <w:szCs w:val="24"/>
        </w:rPr>
      </w:pPr>
    </w:p>
    <w:tbl>
      <w:tblPr>
        <w:tblStyle w:val="TableGrid16"/>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575030" w:rsidRPr="00575030" w:rsidTr="00575030">
        <w:tc>
          <w:tcPr>
            <w:tcW w:w="9558" w:type="dxa"/>
            <w:gridSpan w:val="6"/>
            <w:shd w:val="clear" w:color="auto" w:fill="17365D" w:themeFill="text2" w:themeFillShade="BF"/>
          </w:tcPr>
          <w:p w:rsidR="00575030" w:rsidRPr="00575030" w:rsidRDefault="00575030" w:rsidP="00C74653">
            <w:pPr>
              <w:pStyle w:val="Heading4"/>
              <w:spacing w:before="0"/>
              <w:outlineLvl w:val="3"/>
            </w:pPr>
            <w:r w:rsidRPr="00C74653">
              <w:rPr>
                <w:color w:val="FFFFFF" w:themeColor="background1"/>
                <w:sz w:val="28"/>
              </w:rPr>
              <w:t>4.0 Documentation</w:t>
            </w:r>
          </w:p>
        </w:tc>
      </w:tr>
      <w:tr w:rsidR="00575030" w:rsidRPr="00575030" w:rsidTr="00575030">
        <w:tc>
          <w:tcPr>
            <w:tcW w:w="720" w:type="dxa"/>
          </w:tcPr>
          <w:p w:rsidR="00575030" w:rsidRPr="00575030" w:rsidRDefault="00575030" w:rsidP="00575030"/>
        </w:tc>
        <w:tc>
          <w:tcPr>
            <w:tcW w:w="4176" w:type="dxa"/>
            <w:gridSpan w:val="2"/>
          </w:tcPr>
          <w:p w:rsidR="00575030" w:rsidRPr="00575030" w:rsidRDefault="00575030" w:rsidP="00575030"/>
        </w:tc>
        <w:tc>
          <w:tcPr>
            <w:tcW w:w="720" w:type="dxa"/>
            <w:gridSpan w:val="2"/>
          </w:tcPr>
          <w:p w:rsidR="00575030" w:rsidRPr="00575030" w:rsidRDefault="00575030" w:rsidP="00575030"/>
        </w:tc>
        <w:tc>
          <w:tcPr>
            <w:tcW w:w="3942" w:type="dxa"/>
          </w:tcPr>
          <w:p w:rsidR="00575030" w:rsidRPr="00575030" w:rsidRDefault="00575030" w:rsidP="00575030"/>
        </w:tc>
      </w:tr>
      <w:tr w:rsidR="00575030" w:rsidRPr="00575030" w:rsidTr="00575030">
        <w:tc>
          <w:tcPr>
            <w:tcW w:w="4896" w:type="dxa"/>
            <w:gridSpan w:val="3"/>
            <w:tcBorders>
              <w:bottom w:val="single" w:sz="12" w:space="0" w:color="17365D" w:themeColor="text2" w:themeShade="BF"/>
              <w:right w:val="single" w:sz="12" w:space="0" w:color="17365D" w:themeColor="text2" w:themeShade="BF"/>
            </w:tcBorders>
            <w:vAlign w:val="center"/>
          </w:tcPr>
          <w:p w:rsidR="00575030" w:rsidRPr="008E7A53" w:rsidRDefault="00575030" w:rsidP="00575030">
            <w:pPr>
              <w:jc w:val="center"/>
              <w:rPr>
                <w:rStyle w:val="BookTitle"/>
              </w:rPr>
            </w:pPr>
            <w:r w:rsidRPr="008E7A53">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575030" w:rsidRPr="008E7A53" w:rsidRDefault="00575030" w:rsidP="00575030">
            <w:pPr>
              <w:jc w:val="center"/>
              <w:rPr>
                <w:rStyle w:val="BookTitle"/>
              </w:rPr>
            </w:pPr>
            <w:r w:rsidRPr="008E7A53">
              <w:rPr>
                <w:rStyle w:val="BookTitle"/>
              </w:rPr>
              <w:t>Measures</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pPr>
              <w:rPr>
                <w:szCs w:val="24"/>
              </w:rPr>
            </w:pPr>
            <w:r w:rsidRPr="008E7A53">
              <w:rPr>
                <w:szCs w:val="24"/>
              </w:rPr>
              <w:t>Non-Medical Case Managers shall be assigned within two working days of a request for service or receipt of a referral.</w:t>
            </w:r>
          </w:p>
          <w:p w:rsidR="00C74653" w:rsidRPr="008E7A53" w:rsidRDefault="00C74653" w:rsidP="00575030">
            <w:pPr>
              <w:rPr>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4.1</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 xml:space="preserve">The record shall reflect the name of the assigned Non-Medical Case Manager and date of assignment. </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pPr>
              <w:rPr>
                <w:szCs w:val="24"/>
              </w:rPr>
            </w:pPr>
            <w:r w:rsidRPr="008E7A53">
              <w:rPr>
                <w:szCs w:val="24"/>
              </w:rPr>
              <w:t>An initial intake and assessment shall be initiated within five (5) working days of contact with consumer.</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4.2</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 xml:space="preserve">The consumer record shall contain intake and assessment forms data within five (5) days of contact with consumer regarding referral or </w:t>
            </w:r>
            <w:r w:rsidRPr="008E7A53">
              <w:rPr>
                <w:szCs w:val="24"/>
              </w:rPr>
              <w:lastRenderedPageBreak/>
              <w:t>date of service request.</w:t>
            </w:r>
          </w:p>
          <w:p w:rsidR="00575030" w:rsidRPr="008E7A53" w:rsidRDefault="00575030" w:rsidP="00575030">
            <w:pPr>
              <w:rPr>
                <w:szCs w:val="24"/>
              </w:rPr>
            </w:pPr>
          </w:p>
          <w:p w:rsidR="00575030" w:rsidRPr="008E7A53" w:rsidRDefault="00575030" w:rsidP="00575030">
            <w:pPr>
              <w:rPr>
                <w:szCs w:val="24"/>
              </w:rPr>
            </w:pPr>
            <w:r w:rsidRPr="008E7A53">
              <w:rPr>
                <w:szCs w:val="24"/>
              </w:rPr>
              <w:t>Intake progress notes shall reflect the date of referral or service requested and date of intake and financial eligibility assessment.</w:t>
            </w:r>
          </w:p>
          <w:p w:rsidR="00C74653" w:rsidRPr="008E7A53" w:rsidRDefault="00C74653" w:rsidP="00575030">
            <w:pPr>
              <w:rPr>
                <w:szCs w:val="24"/>
              </w:rPr>
            </w:pP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lastRenderedPageBreak/>
              <w:t>4.3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pPr>
              <w:rPr>
                <w:szCs w:val="24"/>
              </w:rPr>
            </w:pPr>
            <w:r w:rsidRPr="008E7A53">
              <w:rPr>
                <w:szCs w:val="24"/>
              </w:rPr>
              <w:t>Each consumer must have an acuity level assessment. Individuals with an acuity assessment of 1 as measured by the Ryan White Assessment tool shall be referred to a Non-Medical Case Manager.</w:t>
            </w:r>
          </w:p>
          <w:p w:rsidR="00C74653" w:rsidRPr="008E7A53" w:rsidRDefault="00C74653" w:rsidP="00575030">
            <w:pPr>
              <w:rPr>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4.3</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 xml:space="preserve">Documentation of the acuity assessment and documentation of any identified difficulties that the consumer may have shall be maintained in the PE record. </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C47DFE" w:rsidRDefault="00575030" w:rsidP="00575030">
            <w:pPr>
              <w:rPr>
                <w:szCs w:val="24"/>
              </w:rPr>
            </w:pPr>
            <w:r w:rsidRPr="008E7A53">
              <w:rPr>
                <w:szCs w:val="24"/>
              </w:rPr>
              <w:t xml:space="preserve">To receive on-going Non-Medical Case Management services, the consumer must have an acuity level of 1 and be an eligible recipient of Part A funded services. </w:t>
            </w:r>
          </w:p>
          <w:p w:rsidR="00C47DFE" w:rsidRDefault="00C47DFE" w:rsidP="00575030">
            <w:pPr>
              <w:rPr>
                <w:szCs w:val="24"/>
              </w:rPr>
            </w:pPr>
          </w:p>
          <w:p w:rsidR="00575030" w:rsidRPr="00C47DFE" w:rsidRDefault="00575030" w:rsidP="00575030">
            <w:pPr>
              <w:rPr>
                <w:b/>
                <w:sz w:val="22"/>
                <w:szCs w:val="24"/>
              </w:rPr>
            </w:pPr>
            <w:r w:rsidRPr="00C47DFE">
              <w:rPr>
                <w:b/>
                <w:sz w:val="22"/>
                <w:szCs w:val="24"/>
              </w:rPr>
              <w:t>Note: Use of this qualification must be preapproved by the recipient.</w:t>
            </w:r>
          </w:p>
          <w:p w:rsidR="00C74653" w:rsidRPr="008E7A53" w:rsidRDefault="00C74653" w:rsidP="00575030">
            <w:pPr>
              <w:rPr>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4.4</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Documentation of linkage in PE record</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pPr>
              <w:rPr>
                <w:szCs w:val="24"/>
              </w:rPr>
            </w:pPr>
            <w:r w:rsidRPr="008E7A53">
              <w:rPr>
                <w:szCs w:val="24"/>
              </w:rPr>
              <w:t>Agency shall assist consumers in getting basic information about treatment options.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4.5</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Documentation of assisting consumers in obtaining information treatment adherence and prevention shall be maintained in the consumer record.</w:t>
            </w:r>
          </w:p>
          <w:p w:rsidR="00C74653" w:rsidRPr="008E7A53" w:rsidRDefault="00C74653" w:rsidP="00575030">
            <w:pPr>
              <w:rPr>
                <w:szCs w:val="24"/>
              </w:rPr>
            </w:pPr>
          </w:p>
          <w:p w:rsidR="00C74653" w:rsidRPr="008E7A53" w:rsidRDefault="00C74653" w:rsidP="00575030">
            <w:pPr>
              <w:rPr>
                <w:szCs w:val="24"/>
              </w:rPr>
            </w:pP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C47DFE" w:rsidRDefault="00575030" w:rsidP="00575030">
            <w:pPr>
              <w:rPr>
                <w:szCs w:val="24"/>
              </w:rPr>
            </w:pPr>
            <w:r w:rsidRPr="008E7A53">
              <w:rPr>
                <w:szCs w:val="24"/>
              </w:rPr>
              <w:t xml:space="preserve">Non-Medical Case Managers shall conduct an intake that includes all necessary information to link and retain consumers in care both within the Ryan White system of care and elsewhere. </w:t>
            </w:r>
          </w:p>
          <w:p w:rsidR="00C47DFE" w:rsidRDefault="00C47DFE" w:rsidP="00575030">
            <w:pPr>
              <w:rPr>
                <w:szCs w:val="24"/>
              </w:rPr>
            </w:pPr>
          </w:p>
          <w:p w:rsidR="00575030" w:rsidRPr="008E7A53" w:rsidRDefault="00575030" w:rsidP="00575030">
            <w:pPr>
              <w:rPr>
                <w:szCs w:val="24"/>
              </w:rPr>
            </w:pPr>
            <w:r w:rsidRPr="008E7A53">
              <w:rPr>
                <w:szCs w:val="24"/>
              </w:rPr>
              <w:t>This includes an initial assessment of needs, consumer strengths and challenges. An initial plan shall be developed with the consumer based on the level of acuity of needs. Goals set with the consumer should strive to achieve self-empowerment and self- efficacy.</w:t>
            </w:r>
          </w:p>
          <w:p w:rsidR="00C74653" w:rsidRPr="008E7A53" w:rsidRDefault="00C74653" w:rsidP="00575030">
            <w:pPr>
              <w:rPr>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lastRenderedPageBreak/>
              <w:t>4.6</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Documentation of all elements included in the consumer’s record.</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lastRenderedPageBreak/>
              <w:t>4.7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C74653" w:rsidRPr="008E7A53" w:rsidRDefault="00575030" w:rsidP="00C47DFE">
            <w:pPr>
              <w:rPr>
                <w:szCs w:val="24"/>
              </w:rPr>
            </w:pPr>
            <w:r w:rsidRPr="008E7A53">
              <w:rPr>
                <w:szCs w:val="24"/>
              </w:rPr>
              <w:t>Non-Medical Case Managers shall conduct on going care planning, including re-evaluation and updating as evidenced by an ongoing assessment of consumer’s needs to the extent that the assessment supports access to and retention in care for the consumer. The assessment with full eligibility, financial and support services assessment conducted every six (6) months.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4.7</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Documentation of all elements included in the consumer’s record.</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pPr>
              <w:autoSpaceDE w:val="0"/>
              <w:autoSpaceDN w:val="0"/>
              <w:adjustRightInd w:val="0"/>
              <w:rPr>
                <w:szCs w:val="24"/>
              </w:rPr>
            </w:pPr>
            <w:r w:rsidRPr="008E7A53">
              <w:rPr>
                <w:szCs w:val="24"/>
              </w:rPr>
              <w:t>Nom-medical Case Managers shall follow up on consumer referrals.</w:t>
            </w:r>
          </w:p>
          <w:p w:rsidR="00C74653" w:rsidRPr="008E7A53" w:rsidRDefault="00C74653" w:rsidP="00575030">
            <w:pPr>
              <w:autoSpaceDE w:val="0"/>
              <w:autoSpaceDN w:val="0"/>
              <w:adjustRightInd w:val="0"/>
              <w:rPr>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4.8</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autoSpaceDE w:val="0"/>
              <w:autoSpaceDN w:val="0"/>
              <w:adjustRightInd w:val="0"/>
              <w:rPr>
                <w:szCs w:val="24"/>
              </w:rPr>
            </w:pPr>
            <w:r w:rsidRPr="008E7A53">
              <w:rPr>
                <w:szCs w:val="24"/>
              </w:rPr>
              <w:t>Documentation of the follow-up included in the consumer records</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4.9</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pPr>
              <w:autoSpaceDE w:val="0"/>
              <w:autoSpaceDN w:val="0"/>
              <w:adjustRightInd w:val="0"/>
              <w:rPr>
                <w:szCs w:val="24"/>
              </w:rPr>
            </w:pPr>
            <w:r w:rsidRPr="008E7A53">
              <w:rPr>
                <w:szCs w:val="24"/>
              </w:rPr>
              <w:t>Monitor and document consumer’s progress in meeting established goals of care.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4.9</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autoSpaceDE w:val="0"/>
              <w:autoSpaceDN w:val="0"/>
              <w:adjustRightInd w:val="0"/>
              <w:rPr>
                <w:szCs w:val="24"/>
              </w:rPr>
            </w:pPr>
            <w:r w:rsidRPr="008E7A53">
              <w:rPr>
                <w:szCs w:val="24"/>
              </w:rPr>
              <w:t>A progress note must be done on a consumer for each contact that includes adherence (medical,</w:t>
            </w:r>
          </w:p>
          <w:p w:rsidR="00575030" w:rsidRPr="008E7A53" w:rsidRDefault="00575030" w:rsidP="00575030">
            <w:pPr>
              <w:rPr>
                <w:szCs w:val="24"/>
              </w:rPr>
            </w:pPr>
            <w:r w:rsidRPr="008E7A53">
              <w:rPr>
                <w:szCs w:val="24"/>
              </w:rPr>
              <w:t>medication, care plan, etc.), health outcomes, etc.</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C74653" w:rsidP="00C74653">
            <w:pPr>
              <w:rPr>
                <w:szCs w:val="24"/>
              </w:rPr>
            </w:pPr>
            <w:r w:rsidRPr="008E7A53">
              <w:rPr>
                <w:szCs w:val="24"/>
              </w:rPr>
              <w:t>4.10</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pPr>
              <w:rPr>
                <w:szCs w:val="24"/>
              </w:rPr>
            </w:pPr>
            <w:r w:rsidRPr="008E7A53">
              <w:rPr>
                <w:szCs w:val="24"/>
              </w:rPr>
              <w:t>All progress note entry must be signed with the Non-Medical Case Manager’s full legal name and title. The entry must also be dated with title and credentials within two (2) days after an interaction with the consumer.</w:t>
            </w:r>
          </w:p>
          <w:p w:rsidR="00C74653" w:rsidRPr="008E7A53" w:rsidRDefault="00C74653" w:rsidP="00575030">
            <w:pPr>
              <w:rPr>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4.10</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pPr>
              <w:rPr>
                <w:szCs w:val="24"/>
              </w:rPr>
            </w:pPr>
            <w:r w:rsidRPr="008E7A53">
              <w:rPr>
                <w:szCs w:val="24"/>
              </w:rPr>
              <w:t>Progress notes in consumer record reflect all required elements.</w:t>
            </w:r>
          </w:p>
        </w:tc>
      </w:tr>
    </w:tbl>
    <w:p w:rsidR="00C74653" w:rsidRPr="00575030" w:rsidRDefault="00C74653" w:rsidP="00575030">
      <w:pPr>
        <w:spacing w:after="0" w:line="240" w:lineRule="auto"/>
        <w:jc w:val="both"/>
        <w:rPr>
          <w:rFonts w:ascii="Arial" w:hAnsi="Arial" w:cs="Arial"/>
          <w:sz w:val="24"/>
        </w:rPr>
      </w:pPr>
    </w:p>
    <w:tbl>
      <w:tblPr>
        <w:tblStyle w:val="TableGrid16"/>
        <w:tblW w:w="0" w:type="auto"/>
        <w:tblLook w:val="04A0" w:firstRow="1" w:lastRow="0" w:firstColumn="1" w:lastColumn="0" w:noHBand="0" w:noVBand="1"/>
      </w:tblPr>
      <w:tblGrid>
        <w:gridCol w:w="9576"/>
      </w:tblGrid>
      <w:tr w:rsidR="00575030" w:rsidRPr="00575030" w:rsidTr="00575030">
        <w:tc>
          <w:tcPr>
            <w:tcW w:w="9576" w:type="dxa"/>
            <w:tcBorders>
              <w:top w:val="single" w:sz="12" w:space="0" w:color="0F243E" w:themeColor="text2" w:themeShade="80"/>
              <w:left w:val="nil"/>
              <w:bottom w:val="single" w:sz="12" w:space="0" w:color="0F243E" w:themeColor="text2" w:themeShade="80"/>
              <w:right w:val="nil"/>
            </w:tcBorders>
          </w:tcPr>
          <w:p w:rsidR="00575030" w:rsidRPr="00575030" w:rsidRDefault="00575030" w:rsidP="00C74653">
            <w:pPr>
              <w:pStyle w:val="Heading3"/>
              <w:spacing w:before="0"/>
              <w:outlineLvl w:val="2"/>
            </w:pPr>
            <w:bookmarkStart w:id="78" w:name="_Toc489280914"/>
            <w:r w:rsidRPr="00C74653">
              <w:rPr>
                <w:sz w:val="28"/>
              </w:rPr>
              <w:t>5.0 Discharge</w:t>
            </w:r>
            <w:bookmarkEnd w:id="78"/>
          </w:p>
        </w:tc>
      </w:tr>
    </w:tbl>
    <w:p w:rsidR="00575030" w:rsidRPr="00575030" w:rsidRDefault="00575030" w:rsidP="00575030">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575030">
              <w:rPr>
                <w:rFonts w:cs="Arial"/>
              </w:rPr>
              <w:t>Consumers who are no longer engaged in HIV treatment and care services should have their cases closed based on the criteria and protocol outlined in the agency’s Non-Medical Case Management Policies and Procedures Manual.</w:t>
            </w:r>
          </w:p>
        </w:tc>
      </w:tr>
    </w:tbl>
    <w:p w:rsidR="00C74653" w:rsidRPr="00575030" w:rsidRDefault="00C74653" w:rsidP="00575030">
      <w:pPr>
        <w:spacing w:after="0" w:line="240" w:lineRule="auto"/>
        <w:jc w:val="both"/>
        <w:rPr>
          <w:rFonts w:ascii="Arial" w:hAnsi="Arial" w:cs="Arial"/>
          <w:sz w:val="24"/>
        </w:rPr>
      </w:pPr>
    </w:p>
    <w:tbl>
      <w:tblPr>
        <w:tblStyle w:val="TableGrid16"/>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575030" w:rsidRPr="00575030" w:rsidTr="00575030">
        <w:tc>
          <w:tcPr>
            <w:tcW w:w="9558" w:type="dxa"/>
            <w:gridSpan w:val="6"/>
            <w:shd w:val="clear" w:color="auto" w:fill="17365D" w:themeFill="text2" w:themeFillShade="BF"/>
          </w:tcPr>
          <w:p w:rsidR="00575030" w:rsidRPr="00575030" w:rsidRDefault="00575030" w:rsidP="00C74653">
            <w:pPr>
              <w:pStyle w:val="Heading4"/>
              <w:spacing w:before="0"/>
              <w:outlineLvl w:val="3"/>
            </w:pPr>
            <w:r w:rsidRPr="00C74653">
              <w:rPr>
                <w:color w:val="FFFFFF" w:themeColor="background1"/>
                <w:sz w:val="28"/>
              </w:rPr>
              <w:t>5.0 Discharge</w:t>
            </w:r>
          </w:p>
        </w:tc>
      </w:tr>
      <w:tr w:rsidR="00575030" w:rsidRPr="00575030" w:rsidTr="00575030">
        <w:tc>
          <w:tcPr>
            <w:tcW w:w="720" w:type="dxa"/>
          </w:tcPr>
          <w:p w:rsidR="00575030" w:rsidRPr="00575030" w:rsidRDefault="00575030" w:rsidP="00575030"/>
        </w:tc>
        <w:tc>
          <w:tcPr>
            <w:tcW w:w="4176" w:type="dxa"/>
            <w:gridSpan w:val="2"/>
          </w:tcPr>
          <w:p w:rsidR="00575030" w:rsidRPr="00575030" w:rsidRDefault="00575030" w:rsidP="00575030"/>
        </w:tc>
        <w:tc>
          <w:tcPr>
            <w:tcW w:w="720" w:type="dxa"/>
            <w:gridSpan w:val="2"/>
          </w:tcPr>
          <w:p w:rsidR="00575030" w:rsidRPr="00575030" w:rsidRDefault="00575030" w:rsidP="00575030"/>
        </w:tc>
        <w:tc>
          <w:tcPr>
            <w:tcW w:w="3942" w:type="dxa"/>
          </w:tcPr>
          <w:p w:rsidR="00575030" w:rsidRPr="00575030" w:rsidRDefault="00575030" w:rsidP="00575030"/>
        </w:tc>
      </w:tr>
      <w:tr w:rsidR="00575030" w:rsidRPr="00575030" w:rsidTr="00575030">
        <w:tc>
          <w:tcPr>
            <w:tcW w:w="4896" w:type="dxa"/>
            <w:gridSpan w:val="3"/>
            <w:tcBorders>
              <w:bottom w:val="single" w:sz="12" w:space="0" w:color="17365D" w:themeColor="text2" w:themeShade="BF"/>
              <w:right w:val="single" w:sz="12" w:space="0" w:color="17365D" w:themeColor="text2" w:themeShade="BF"/>
            </w:tcBorders>
            <w:vAlign w:val="center"/>
          </w:tcPr>
          <w:p w:rsidR="00575030" w:rsidRPr="008E7A53" w:rsidRDefault="00575030" w:rsidP="00575030">
            <w:pPr>
              <w:jc w:val="center"/>
              <w:rPr>
                <w:rStyle w:val="BookTitle"/>
              </w:rPr>
            </w:pPr>
            <w:r w:rsidRPr="008E7A53">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575030" w:rsidRPr="008E7A53" w:rsidRDefault="00575030" w:rsidP="00575030">
            <w:pPr>
              <w:jc w:val="center"/>
              <w:rPr>
                <w:rStyle w:val="BookTitle"/>
              </w:rPr>
            </w:pPr>
            <w:r w:rsidRPr="008E7A53">
              <w:rPr>
                <w:rStyle w:val="BookTitle"/>
              </w:rPr>
              <w:t>Measures</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r w:rsidRPr="008E7A53">
              <w:t>5.1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r w:rsidRPr="008E7A53">
              <w:t>Upon face-to-face discharge, consumers shall receive a discharge plan which has been approved by a qualified supervisor.</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r w:rsidRPr="008E7A53">
              <w:t>5.1</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r w:rsidRPr="008E7A53">
              <w:t xml:space="preserve">Discharge plan will document reason for </w:t>
            </w:r>
            <w:r w:rsidR="00C74653" w:rsidRPr="008E7A53">
              <w:t>closure;</w:t>
            </w:r>
            <w:r w:rsidRPr="008E7A53">
              <w:t xml:space="preserve"> outline available resources and instructions for follow up, and </w:t>
            </w:r>
            <w:r w:rsidR="00C74653" w:rsidRPr="008E7A53">
              <w:t>are</w:t>
            </w:r>
            <w:r w:rsidRPr="008E7A53">
              <w:t xml:space="preserve"> signed by the Non-Medical Case </w:t>
            </w:r>
            <w:r w:rsidRPr="008E7A53">
              <w:lastRenderedPageBreak/>
              <w:t>Manager and a qualified supervisor.</w:t>
            </w:r>
          </w:p>
          <w:p w:rsidR="00C74653" w:rsidRPr="008E7A53" w:rsidRDefault="00C74653" w:rsidP="00575030"/>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r w:rsidRPr="008E7A53">
              <w:lastRenderedPageBreak/>
              <w:t>5.2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r w:rsidRPr="008E7A53">
              <w:t xml:space="preserve">Each closed consumer record shall contain a discharge summary and an exit interview, where appropriate. </w:t>
            </w:r>
          </w:p>
          <w:p w:rsidR="00575030" w:rsidRPr="008E7A53" w:rsidRDefault="00575030" w:rsidP="00575030"/>
          <w:p w:rsidR="00575030" w:rsidRPr="00C47DFE" w:rsidRDefault="00575030" w:rsidP="00575030">
            <w:pPr>
              <w:rPr>
                <w:b/>
                <w:sz w:val="22"/>
              </w:rPr>
            </w:pPr>
            <w:r w:rsidRPr="00C47DFE">
              <w:rPr>
                <w:b/>
                <w:sz w:val="22"/>
              </w:rPr>
              <w:t>Note: When Case Manager is not able to conduct an exit interview or discharge summary, the reason must be documented in the record.</w:t>
            </w:r>
          </w:p>
          <w:p w:rsidR="00C74653" w:rsidRPr="008E7A53" w:rsidRDefault="00C74653" w:rsidP="00575030">
            <w:pPr>
              <w:rPr>
                <w:b/>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r w:rsidRPr="008E7A53">
              <w:t>5.2</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r w:rsidRPr="008E7A53">
              <w:t>The discharge summary shall document the recent closure in case disposition and shall be reviewed by the Non-Medical Case Manager supervisor.</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r w:rsidRPr="008E7A53">
              <w:t>5.3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r w:rsidRPr="008E7A53">
              <w:t>All discharged consumers shall be offered an exit interview via one of the following:</w:t>
            </w:r>
          </w:p>
          <w:p w:rsidR="00575030" w:rsidRPr="008E7A53" w:rsidRDefault="00C74653" w:rsidP="001B1B43">
            <w:pPr>
              <w:pStyle w:val="ListParagraph"/>
              <w:numPr>
                <w:ilvl w:val="0"/>
                <w:numId w:val="82"/>
              </w:numPr>
            </w:pPr>
            <w:r w:rsidRPr="008E7A53">
              <w:t>Face-to-face visit;</w:t>
            </w:r>
          </w:p>
          <w:p w:rsidR="00575030" w:rsidRPr="008E7A53" w:rsidRDefault="00C74653" w:rsidP="001B1B43">
            <w:pPr>
              <w:pStyle w:val="ListParagraph"/>
              <w:numPr>
                <w:ilvl w:val="0"/>
                <w:numId w:val="82"/>
              </w:numPr>
            </w:pPr>
            <w:r w:rsidRPr="008E7A53">
              <w:t>Telephone call; or</w:t>
            </w:r>
          </w:p>
          <w:p w:rsidR="00575030" w:rsidRPr="008E7A53" w:rsidRDefault="00C74653" w:rsidP="001B1B43">
            <w:pPr>
              <w:pStyle w:val="ListParagraph"/>
              <w:numPr>
                <w:ilvl w:val="0"/>
                <w:numId w:val="82"/>
              </w:numPr>
            </w:pPr>
            <w:r w:rsidRPr="008E7A53">
              <w:t>Written communication</w:t>
            </w:r>
          </w:p>
          <w:p w:rsidR="008E7A53" w:rsidRDefault="008E7A53" w:rsidP="00575030">
            <w:pPr>
              <w:rPr>
                <w:b/>
              </w:rPr>
            </w:pPr>
          </w:p>
          <w:p w:rsidR="00575030" w:rsidRPr="00C47DFE" w:rsidRDefault="00575030" w:rsidP="00575030">
            <w:pPr>
              <w:rPr>
                <w:b/>
                <w:sz w:val="22"/>
              </w:rPr>
            </w:pPr>
            <w:r w:rsidRPr="00C47DFE">
              <w:rPr>
                <w:b/>
                <w:sz w:val="22"/>
              </w:rPr>
              <w:t>Note: When Case Manager  is not able to conduct an exit interview, reason must be documented in the record</w:t>
            </w:r>
          </w:p>
          <w:p w:rsidR="00C74653" w:rsidRPr="008E7A53" w:rsidRDefault="00C74653" w:rsidP="00575030">
            <w:pPr>
              <w:rPr>
                <w:b/>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r w:rsidRPr="008E7A53">
              <w:t>5.3</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r w:rsidRPr="008E7A53">
              <w:t>The discharge summary shall document an exit interview was offered.</w:t>
            </w:r>
          </w:p>
        </w:tc>
      </w:tr>
      <w:tr w:rsidR="00575030" w:rsidRPr="00575030" w:rsidTr="00575030">
        <w:tc>
          <w:tcPr>
            <w:tcW w:w="738" w:type="dxa"/>
            <w:gridSpan w:val="2"/>
            <w:tcBorders>
              <w:top w:val="single" w:sz="12" w:space="0" w:color="17365D" w:themeColor="text2" w:themeShade="BF"/>
              <w:bottom w:val="single" w:sz="12" w:space="0" w:color="17365D" w:themeColor="text2" w:themeShade="BF"/>
            </w:tcBorders>
          </w:tcPr>
          <w:p w:rsidR="00575030" w:rsidRPr="008E7A53" w:rsidRDefault="00575030" w:rsidP="00575030">
            <w:r w:rsidRPr="008E7A53">
              <w:t>5.4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75030" w:rsidRPr="008E7A53" w:rsidRDefault="00575030" w:rsidP="00575030">
            <w:r w:rsidRPr="008E7A53">
              <w:t>All discharge summaries shall be documented in Consumer record within 6 months of the last consumer contact.</w:t>
            </w:r>
          </w:p>
          <w:p w:rsidR="00C74653" w:rsidRPr="008E7A53" w:rsidRDefault="00C74653" w:rsidP="00575030"/>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75030" w:rsidRPr="008E7A53" w:rsidRDefault="00575030" w:rsidP="00575030">
            <w:r w:rsidRPr="008E7A53">
              <w:t>5.4</w:t>
            </w:r>
          </w:p>
        </w:tc>
        <w:tc>
          <w:tcPr>
            <w:tcW w:w="3960" w:type="dxa"/>
            <w:gridSpan w:val="2"/>
            <w:tcBorders>
              <w:top w:val="single" w:sz="12" w:space="0" w:color="17365D" w:themeColor="text2" w:themeShade="BF"/>
              <w:bottom w:val="single" w:sz="12" w:space="0" w:color="17365D" w:themeColor="text2" w:themeShade="BF"/>
            </w:tcBorders>
          </w:tcPr>
          <w:p w:rsidR="00575030" w:rsidRPr="008E7A53" w:rsidRDefault="00575030" w:rsidP="00575030">
            <w:r w:rsidRPr="008E7A53">
              <w:t>Documentation in PE record</w:t>
            </w:r>
          </w:p>
        </w:tc>
      </w:tr>
    </w:tbl>
    <w:p w:rsidR="00575030" w:rsidRPr="00575030" w:rsidRDefault="00575030" w:rsidP="00575030">
      <w:pPr>
        <w:spacing w:after="0" w:line="240" w:lineRule="auto"/>
        <w:jc w:val="both"/>
        <w:rPr>
          <w:rFonts w:ascii="Arial" w:hAnsi="Arial" w:cs="Arial"/>
          <w:sz w:val="24"/>
        </w:rPr>
      </w:pPr>
    </w:p>
    <w:p w:rsidR="00575030" w:rsidRPr="00575030" w:rsidRDefault="00575030" w:rsidP="00575030">
      <w:pPr>
        <w:spacing w:after="0" w:line="240" w:lineRule="auto"/>
        <w:jc w:val="both"/>
        <w:rPr>
          <w:rFonts w:ascii="Arial" w:hAnsi="Arial" w:cs="Arial"/>
          <w:sz w:val="24"/>
        </w:rPr>
      </w:pPr>
    </w:p>
    <w:p w:rsidR="00575030" w:rsidRPr="00575030" w:rsidRDefault="00575030" w:rsidP="00575030">
      <w:pPr>
        <w:spacing w:after="0" w:line="240" w:lineRule="auto"/>
        <w:jc w:val="both"/>
        <w:rPr>
          <w:rFonts w:ascii="Arial" w:hAnsi="Arial" w:cs="Arial"/>
          <w:sz w:val="24"/>
        </w:rPr>
      </w:pPr>
    </w:p>
    <w:p w:rsidR="007C4F82" w:rsidRDefault="007C4F82" w:rsidP="002C5805">
      <w:pPr>
        <w:spacing w:after="0" w:line="240" w:lineRule="auto"/>
        <w:jc w:val="both"/>
        <w:rPr>
          <w:rFonts w:ascii="Arial" w:hAnsi="Arial" w:cs="Arial"/>
          <w:sz w:val="24"/>
        </w:rPr>
        <w:sectPr w:rsidR="007C4F82" w:rsidSect="00087F6A">
          <w:footerReference w:type="default" r:id="rId57"/>
          <w:footerReference w:type="first" r:id="rId58"/>
          <w:pgSz w:w="12240" w:h="15840" w:code="1"/>
          <w:pgMar w:top="1296" w:right="1440" w:bottom="1296" w:left="1440" w:header="720" w:footer="432" w:gutter="0"/>
          <w:cols w:space="720"/>
          <w:titlePg/>
          <w:docGrid w:linePitch="360"/>
        </w:sectPr>
      </w:pPr>
    </w:p>
    <w:tbl>
      <w:tblPr>
        <w:tblStyle w:val="TableGrid"/>
        <w:tblW w:w="0" w:type="auto"/>
        <w:shd w:val="clear" w:color="auto" w:fill="17365D" w:themeFill="text2" w:themeFillShade="BF"/>
        <w:tblLook w:val="04A0" w:firstRow="1" w:lastRow="0" w:firstColumn="1" w:lastColumn="0" w:noHBand="0" w:noVBand="1"/>
      </w:tblPr>
      <w:tblGrid>
        <w:gridCol w:w="9576"/>
      </w:tblGrid>
      <w:tr w:rsidR="00BA06FB" w:rsidTr="00BA06FB">
        <w:tc>
          <w:tcPr>
            <w:tcW w:w="9576" w:type="dxa"/>
            <w:shd w:val="clear" w:color="auto" w:fill="17365D" w:themeFill="text2" w:themeFillShade="BF"/>
          </w:tcPr>
          <w:p w:rsidR="00BA06FB" w:rsidRPr="00BA06FB" w:rsidRDefault="00BA06FB" w:rsidP="00C74653">
            <w:pPr>
              <w:pStyle w:val="Heading2"/>
              <w:spacing w:before="0"/>
              <w:jc w:val="center"/>
              <w:outlineLvl w:val="1"/>
              <w:rPr>
                <w:rFonts w:ascii="Arial" w:hAnsi="Arial"/>
              </w:rPr>
            </w:pPr>
            <w:bookmarkStart w:id="79" w:name="_Emergency_Financial_Assistance"/>
            <w:bookmarkStart w:id="80" w:name="_Toc489280915"/>
            <w:bookmarkEnd w:id="79"/>
            <w:r w:rsidRPr="00C74653">
              <w:rPr>
                <w:color w:val="FFFFFF" w:themeColor="background1"/>
                <w:sz w:val="32"/>
              </w:rPr>
              <w:lastRenderedPageBreak/>
              <w:t>Emergency Financial Assistance</w:t>
            </w:r>
            <w:bookmarkEnd w:id="80"/>
          </w:p>
        </w:tc>
      </w:tr>
    </w:tbl>
    <w:p w:rsidR="00BF0DCD" w:rsidRDefault="00BF0DCD" w:rsidP="002C5805">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C74653">
              <w:rPr>
                <w:rFonts w:cs="Arial"/>
                <w:b/>
              </w:rPr>
              <w:t>Definition</w:t>
            </w:r>
            <w:r w:rsidRPr="00C74653">
              <w:rPr>
                <w:rFonts w:cs="Arial"/>
              </w:rPr>
              <w:t xml:space="preserve">: </w:t>
            </w:r>
          </w:p>
          <w:p w:rsidR="00C47DFE" w:rsidRPr="00C74653" w:rsidRDefault="00C47DFE" w:rsidP="00C47DFE">
            <w:pPr>
              <w:rPr>
                <w:rFonts w:cs="Arial"/>
              </w:rPr>
            </w:pPr>
            <w:r w:rsidRPr="00C74653">
              <w:rPr>
                <w:rFonts w:cs="Arial"/>
              </w:rPr>
              <w:t>Emergency Financial Assistance (EFA) provides limited one-time or short-term payments to assist the Ryan White HIV/AIDS Program (RWHAP) consumer with an emergent need for paying for essential utilities, housing, food (including groceries, and food vouchers), transportation and medication. Emergency Financial Assistance can occur as a direct payment to an agency or through a voucher program.</w:t>
            </w:r>
          </w:p>
          <w:p w:rsidR="00C47DFE" w:rsidRPr="00C74653" w:rsidRDefault="00C47DFE" w:rsidP="00C47DFE">
            <w:pPr>
              <w:rPr>
                <w:rFonts w:cs="Arial"/>
              </w:rPr>
            </w:pPr>
          </w:p>
          <w:p w:rsidR="00C47DFE" w:rsidRPr="00C47DFE" w:rsidRDefault="00C47DFE" w:rsidP="00C47DFE">
            <w:pPr>
              <w:rPr>
                <w:rFonts w:cs="Arial"/>
                <w:b/>
                <w:sz w:val="22"/>
              </w:rPr>
            </w:pPr>
            <w:r w:rsidRPr="00C47DFE">
              <w:rPr>
                <w:rFonts w:cs="Arial"/>
                <w:b/>
                <w:sz w:val="22"/>
              </w:rPr>
              <w:t>Note: Direct cash payments to consumers are not permitted.</w:t>
            </w:r>
          </w:p>
          <w:p w:rsidR="00C47DFE" w:rsidRPr="00C74653" w:rsidRDefault="00C47DFE" w:rsidP="00C47DFE">
            <w:pPr>
              <w:rPr>
                <w:rFonts w:cs="Arial"/>
              </w:rPr>
            </w:pPr>
          </w:p>
          <w:p w:rsidR="00C47DFE" w:rsidRPr="00C74653" w:rsidRDefault="00C47DFE" w:rsidP="00C47DFE">
            <w:pPr>
              <w:rPr>
                <w:rFonts w:cs="Arial"/>
              </w:rPr>
            </w:pPr>
            <w:r w:rsidRPr="00C74653">
              <w:rPr>
                <w:rFonts w:cs="Arial"/>
              </w:rPr>
              <w:t>It is expected that all other sources of funding in the community for emergency financial assistance will be effectively used and that any allocation of RWHAP funds for these purposes will be as the payer of last resort, and for limited amounts, uses, and periods of time. Continuous provision of an allowable service to a consumer should not be funded through emergency financial assistance.</w:t>
            </w:r>
          </w:p>
          <w:p w:rsidR="00C47DFE" w:rsidRPr="00C74653" w:rsidRDefault="00C47DFE" w:rsidP="00C47DFE">
            <w:pPr>
              <w:rPr>
                <w:rFonts w:cs="Arial"/>
              </w:rPr>
            </w:pPr>
          </w:p>
          <w:p w:rsidR="00C47DFE" w:rsidRPr="00C47DFE" w:rsidRDefault="00C47DFE" w:rsidP="00C47DFE">
            <w:pPr>
              <w:rPr>
                <w:rFonts w:cs="Arial"/>
                <w:b/>
                <w:sz w:val="22"/>
              </w:rPr>
            </w:pPr>
            <w:r w:rsidRPr="00C47DFE">
              <w:rPr>
                <w:rFonts w:cs="Arial"/>
                <w:b/>
                <w:sz w:val="22"/>
              </w:rPr>
              <w:t>Note: EFA Services in the Orlando EMA shall include medication services only.</w:t>
            </w:r>
          </w:p>
          <w:p w:rsidR="00C47DFE" w:rsidRPr="00C74653" w:rsidRDefault="00C47DFE" w:rsidP="00C47DFE">
            <w:pPr>
              <w:rPr>
                <w:rFonts w:cs="Arial"/>
              </w:rPr>
            </w:pPr>
          </w:p>
          <w:p w:rsidR="00C47DFE" w:rsidRPr="00C74653" w:rsidRDefault="00C47DFE" w:rsidP="00C47DFE">
            <w:pPr>
              <w:rPr>
                <w:rFonts w:cs="Arial"/>
              </w:rPr>
            </w:pPr>
            <w:r w:rsidRPr="00C74653">
              <w:rPr>
                <w:rFonts w:cs="Arial"/>
                <w:b/>
              </w:rPr>
              <w:t>Eligibility</w:t>
            </w:r>
            <w:r w:rsidRPr="00C74653">
              <w:rPr>
                <w:rFonts w:cs="Arial"/>
              </w:rPr>
              <w:t xml:space="preserve">: </w:t>
            </w:r>
          </w:p>
          <w:p w:rsidR="00C47DFE" w:rsidRDefault="00C47DFE" w:rsidP="00C47DFE">
            <w:pPr>
              <w:rPr>
                <w:rFonts w:cs="Arial"/>
              </w:rPr>
            </w:pPr>
            <w:r w:rsidRPr="00C74653">
              <w:rPr>
                <w:rFonts w:cs="Arial"/>
              </w:rPr>
              <w:t>Consumers accessing Emergency Financial Assistance Services shall meet the eligibility standards as described in the System Wide Standards of Care.</w:t>
            </w:r>
          </w:p>
        </w:tc>
      </w:tr>
    </w:tbl>
    <w:p w:rsidR="00C74653" w:rsidRPr="00C74653" w:rsidRDefault="00C74653" w:rsidP="00C74653">
      <w:pPr>
        <w:spacing w:after="0" w:line="240" w:lineRule="auto"/>
        <w:jc w:val="both"/>
        <w:rPr>
          <w:rFonts w:ascii="Arial" w:eastAsia="Calibri"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74653" w:rsidRPr="00C74653" w:rsidTr="007C0549">
        <w:tc>
          <w:tcPr>
            <w:tcW w:w="9576" w:type="dxa"/>
            <w:tcBorders>
              <w:top w:val="single" w:sz="12" w:space="0" w:color="auto"/>
              <w:left w:val="nil"/>
              <w:bottom w:val="single" w:sz="12" w:space="0" w:color="auto"/>
              <w:right w:val="nil"/>
            </w:tcBorders>
            <w:shd w:val="clear" w:color="auto" w:fill="auto"/>
          </w:tcPr>
          <w:p w:rsidR="00C74653" w:rsidRPr="00C74653" w:rsidRDefault="000F6983" w:rsidP="000F6983">
            <w:pPr>
              <w:pStyle w:val="Heading3"/>
              <w:spacing w:before="0" w:line="240" w:lineRule="auto"/>
              <w:rPr>
                <w:rFonts w:eastAsia="Calibri"/>
              </w:rPr>
            </w:pPr>
            <w:bookmarkStart w:id="81" w:name="_Toc489280916"/>
            <w:r w:rsidRPr="000F6983">
              <w:rPr>
                <w:rFonts w:eastAsia="Calibri"/>
                <w:sz w:val="28"/>
              </w:rPr>
              <w:t>1.0 Scope of</w:t>
            </w:r>
            <w:r w:rsidR="00C74653" w:rsidRPr="000F6983">
              <w:rPr>
                <w:rFonts w:eastAsia="Calibri"/>
                <w:sz w:val="28"/>
              </w:rPr>
              <w:t xml:space="preserve"> Service</w:t>
            </w:r>
            <w:bookmarkEnd w:id="81"/>
          </w:p>
        </w:tc>
      </w:tr>
    </w:tbl>
    <w:p w:rsidR="00C47DFE" w:rsidRDefault="00C47DFE" w:rsidP="00C47DFE">
      <w:pPr>
        <w:spacing w:after="0"/>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C74653">
              <w:rPr>
                <w:rFonts w:cs="Arial"/>
                <w:szCs w:val="24"/>
              </w:rPr>
              <w:t>EFA requests shall be initiated by Case Managers and shall ensure that consumers do not experience gaps in medications.</w:t>
            </w:r>
          </w:p>
        </w:tc>
      </w:tr>
    </w:tbl>
    <w:p w:rsidR="00C74653" w:rsidRPr="00C74653" w:rsidRDefault="00C74653" w:rsidP="00C74653">
      <w:pPr>
        <w:spacing w:after="0" w:line="240" w:lineRule="auto"/>
        <w:jc w:val="both"/>
        <w:rPr>
          <w:rFonts w:ascii="Arial" w:eastAsia="Calibri" w:hAnsi="Arial" w:cs="Arial"/>
          <w:sz w:val="24"/>
          <w:szCs w:val="20"/>
        </w:rPr>
      </w:pPr>
    </w:p>
    <w:tbl>
      <w:tblPr>
        <w:tblW w:w="9558" w:type="dxa"/>
        <w:tblLayout w:type="fixed"/>
        <w:tblLook w:val="04A0" w:firstRow="1" w:lastRow="0" w:firstColumn="1" w:lastColumn="0" w:noHBand="0" w:noVBand="1"/>
      </w:tblPr>
      <w:tblGrid>
        <w:gridCol w:w="9558"/>
      </w:tblGrid>
      <w:tr w:rsidR="00C74653" w:rsidRPr="00C74653" w:rsidTr="007C0549">
        <w:tc>
          <w:tcPr>
            <w:tcW w:w="9558" w:type="dxa"/>
            <w:shd w:val="clear" w:color="auto" w:fill="17365D"/>
          </w:tcPr>
          <w:p w:rsidR="00C74653" w:rsidRPr="00C74653" w:rsidRDefault="00C74653" w:rsidP="000F6983">
            <w:pPr>
              <w:pStyle w:val="Heading4"/>
              <w:spacing w:before="0" w:line="240" w:lineRule="auto"/>
              <w:rPr>
                <w:rFonts w:eastAsia="Calibri"/>
              </w:rPr>
            </w:pPr>
            <w:r w:rsidRPr="000F6983">
              <w:rPr>
                <w:rFonts w:eastAsia="Calibri"/>
                <w:color w:val="FFFFFF" w:themeColor="background1"/>
                <w:sz w:val="28"/>
              </w:rPr>
              <w:t>1.0 Scope of Service</w:t>
            </w:r>
          </w:p>
        </w:tc>
      </w:tr>
    </w:tbl>
    <w:p w:rsidR="00C74653" w:rsidRPr="00C74653" w:rsidRDefault="00C74653" w:rsidP="00C74653">
      <w:pPr>
        <w:spacing w:after="0"/>
        <w:rPr>
          <w:rFonts w:ascii="Calibri" w:eastAsia="Calibri" w:hAnsi="Calibri" w:cs="Times New Roman"/>
          <w:vanish/>
        </w:rPr>
      </w:pPr>
    </w:p>
    <w:tbl>
      <w:tblPr>
        <w:tblW w:w="9558" w:type="dxa"/>
        <w:tblLayout w:type="fixed"/>
        <w:tblLook w:val="04A0" w:firstRow="1" w:lastRow="0" w:firstColumn="1" w:lastColumn="0" w:noHBand="0" w:noVBand="1"/>
      </w:tblPr>
      <w:tblGrid>
        <w:gridCol w:w="720"/>
        <w:gridCol w:w="4176"/>
        <w:gridCol w:w="720"/>
        <w:gridCol w:w="3942"/>
      </w:tblGrid>
      <w:tr w:rsidR="000F6983" w:rsidRPr="00C74653" w:rsidTr="007C0549">
        <w:tc>
          <w:tcPr>
            <w:tcW w:w="720" w:type="dxa"/>
            <w:shd w:val="clear" w:color="auto" w:fill="auto"/>
          </w:tcPr>
          <w:p w:rsidR="000F6983" w:rsidRPr="00C74653" w:rsidRDefault="000F6983" w:rsidP="00C74653">
            <w:pPr>
              <w:spacing w:after="0" w:line="240" w:lineRule="auto"/>
              <w:jc w:val="both"/>
              <w:rPr>
                <w:rFonts w:ascii="Arial" w:eastAsia="Calibri" w:hAnsi="Arial" w:cs="Times New Roman"/>
                <w:bCs/>
                <w:sz w:val="24"/>
                <w:szCs w:val="20"/>
              </w:rPr>
            </w:pPr>
          </w:p>
        </w:tc>
        <w:tc>
          <w:tcPr>
            <w:tcW w:w="4176" w:type="dxa"/>
            <w:shd w:val="clear" w:color="auto" w:fill="auto"/>
          </w:tcPr>
          <w:p w:rsidR="000F6983" w:rsidRPr="00C74653" w:rsidRDefault="000F6983" w:rsidP="00C74653">
            <w:pPr>
              <w:spacing w:after="0" w:line="240" w:lineRule="auto"/>
              <w:jc w:val="both"/>
              <w:rPr>
                <w:rFonts w:ascii="Arial" w:eastAsia="Calibri" w:hAnsi="Arial" w:cs="Times New Roman"/>
                <w:bCs/>
                <w:sz w:val="24"/>
                <w:szCs w:val="20"/>
              </w:rPr>
            </w:pPr>
          </w:p>
        </w:tc>
        <w:tc>
          <w:tcPr>
            <w:tcW w:w="720" w:type="dxa"/>
            <w:shd w:val="clear" w:color="auto" w:fill="auto"/>
          </w:tcPr>
          <w:p w:rsidR="000F6983" w:rsidRPr="00C74653" w:rsidRDefault="000F6983" w:rsidP="00C74653">
            <w:pPr>
              <w:spacing w:after="0" w:line="240" w:lineRule="auto"/>
              <w:jc w:val="both"/>
              <w:rPr>
                <w:rFonts w:ascii="Arial" w:eastAsia="Calibri" w:hAnsi="Arial" w:cs="Times New Roman"/>
                <w:bCs/>
                <w:sz w:val="24"/>
                <w:szCs w:val="20"/>
              </w:rPr>
            </w:pPr>
          </w:p>
        </w:tc>
        <w:tc>
          <w:tcPr>
            <w:tcW w:w="3942" w:type="dxa"/>
            <w:shd w:val="clear" w:color="auto" w:fill="auto"/>
          </w:tcPr>
          <w:p w:rsidR="000F6983" w:rsidRPr="00C74653" w:rsidRDefault="000F6983" w:rsidP="00C74653">
            <w:pPr>
              <w:spacing w:after="0" w:line="240" w:lineRule="auto"/>
              <w:jc w:val="both"/>
              <w:rPr>
                <w:rFonts w:ascii="Arial" w:eastAsia="Calibri" w:hAnsi="Arial" w:cs="Times New Roman"/>
                <w:bCs/>
                <w:sz w:val="24"/>
                <w:szCs w:val="20"/>
              </w:rPr>
            </w:pPr>
          </w:p>
        </w:tc>
      </w:tr>
      <w:tr w:rsidR="000F6983" w:rsidRPr="00C74653" w:rsidTr="007C0549">
        <w:tc>
          <w:tcPr>
            <w:tcW w:w="4896" w:type="dxa"/>
            <w:gridSpan w:val="2"/>
            <w:tcBorders>
              <w:bottom w:val="single" w:sz="12" w:space="0" w:color="17365D"/>
              <w:right w:val="single" w:sz="12" w:space="0" w:color="17365D"/>
            </w:tcBorders>
            <w:shd w:val="clear" w:color="auto" w:fill="auto"/>
            <w:vAlign w:val="center"/>
          </w:tcPr>
          <w:p w:rsidR="000F6983" w:rsidRPr="008E7A53" w:rsidRDefault="000F6983" w:rsidP="00C74653">
            <w:pPr>
              <w:spacing w:after="0" w:line="240" w:lineRule="auto"/>
              <w:jc w:val="center"/>
              <w:rPr>
                <w:rStyle w:val="BookTitle"/>
              </w:rPr>
            </w:pPr>
            <w:r w:rsidRPr="008E7A53">
              <w:rPr>
                <w:rStyle w:val="BookTitle"/>
              </w:rPr>
              <w:t>Standards</w:t>
            </w:r>
          </w:p>
        </w:tc>
        <w:tc>
          <w:tcPr>
            <w:tcW w:w="4662" w:type="dxa"/>
            <w:gridSpan w:val="2"/>
            <w:tcBorders>
              <w:left w:val="single" w:sz="12" w:space="0" w:color="17365D"/>
              <w:bottom w:val="single" w:sz="12" w:space="0" w:color="17365D"/>
            </w:tcBorders>
            <w:shd w:val="clear" w:color="auto" w:fill="auto"/>
            <w:vAlign w:val="center"/>
          </w:tcPr>
          <w:p w:rsidR="000F6983" w:rsidRPr="008E7A53" w:rsidRDefault="000F6983" w:rsidP="00C74653">
            <w:pPr>
              <w:spacing w:after="0" w:line="240" w:lineRule="auto"/>
              <w:jc w:val="center"/>
              <w:rPr>
                <w:rStyle w:val="BookTitle"/>
              </w:rPr>
            </w:pPr>
            <w:r w:rsidRPr="008E7A53">
              <w:rPr>
                <w:rStyle w:val="BookTitle"/>
              </w:rPr>
              <w:t>Measures</w:t>
            </w:r>
          </w:p>
        </w:tc>
      </w:tr>
    </w:tbl>
    <w:p w:rsidR="00C74653" w:rsidRPr="00C74653" w:rsidRDefault="00C74653" w:rsidP="00C74653">
      <w:pPr>
        <w:spacing w:after="0"/>
        <w:rPr>
          <w:rFonts w:ascii="Calibri" w:eastAsia="Calibri" w:hAnsi="Calibri" w:cs="Times New Roman"/>
          <w:vanish/>
        </w:rPr>
      </w:pPr>
    </w:p>
    <w:tbl>
      <w:tblPr>
        <w:tblStyle w:val="TableGrid161"/>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0F6983" w:rsidRPr="008E7A53" w:rsidTr="007C0549">
        <w:tc>
          <w:tcPr>
            <w:tcW w:w="738" w:type="dxa"/>
            <w:tcBorders>
              <w:top w:val="single" w:sz="12" w:space="0" w:color="17365D" w:themeColor="text2" w:themeShade="BF"/>
              <w:bottom w:val="single" w:sz="12" w:space="0" w:color="17365D" w:themeColor="text2" w:themeShade="BF"/>
            </w:tcBorders>
          </w:tcPr>
          <w:p w:rsidR="000F6983" w:rsidRPr="008E7A53" w:rsidRDefault="000F6983" w:rsidP="007C0549">
            <w:r w:rsidRPr="008E7A53">
              <w:t xml:space="preserve">1.1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7C0549">
            <w:r w:rsidRPr="008E7A53">
              <w:t xml:space="preserve">Consumers requesting EFA services shall be assessed to determine the cause of medication gap. </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pPr>
              <w:spacing w:after="200" w:line="276" w:lineRule="auto"/>
              <w:jc w:val="left"/>
              <w:rPr>
                <w:rFonts w:asciiTheme="minorHAnsi" w:eastAsiaTheme="minorHAnsi" w:hAnsiTheme="minorHAnsi" w:cstheme="minorBidi"/>
                <w:bCs w:val="0"/>
                <w:szCs w:val="22"/>
              </w:rPr>
            </w:pPr>
            <w:r w:rsidRPr="008E7A53">
              <w:t xml:space="preserve">1.1 </w:t>
            </w:r>
          </w:p>
        </w:tc>
        <w:tc>
          <w:tcPr>
            <w:tcW w:w="3960" w:type="dxa"/>
            <w:tcBorders>
              <w:top w:val="single" w:sz="12" w:space="0" w:color="17365D" w:themeColor="text2" w:themeShade="BF"/>
              <w:bottom w:val="single" w:sz="12" w:space="0" w:color="17365D" w:themeColor="text2" w:themeShade="BF"/>
            </w:tcBorders>
          </w:tcPr>
          <w:p w:rsidR="000F6983" w:rsidRPr="008E7A53" w:rsidRDefault="000F6983" w:rsidP="000F6983">
            <w:pPr>
              <w:spacing w:after="200" w:line="276" w:lineRule="auto"/>
              <w:jc w:val="left"/>
              <w:rPr>
                <w:rFonts w:asciiTheme="minorHAnsi" w:eastAsiaTheme="minorHAnsi" w:hAnsiTheme="minorHAnsi" w:cstheme="minorBidi"/>
                <w:bCs w:val="0"/>
                <w:szCs w:val="22"/>
              </w:rPr>
            </w:pPr>
            <w:r w:rsidRPr="008E7A53">
              <w:t>Documentation of assessment  including the cause of possible medication gap documented in PE</w:t>
            </w:r>
          </w:p>
        </w:tc>
      </w:tr>
      <w:tr w:rsidR="000F6983" w:rsidRPr="008E7A53" w:rsidTr="007C0549">
        <w:tc>
          <w:tcPr>
            <w:tcW w:w="738" w:type="dxa"/>
            <w:tcBorders>
              <w:top w:val="single" w:sz="12" w:space="0" w:color="17365D" w:themeColor="text2" w:themeShade="BF"/>
              <w:bottom w:val="single" w:sz="12" w:space="0" w:color="17365D" w:themeColor="text2" w:themeShade="BF"/>
            </w:tcBorders>
          </w:tcPr>
          <w:p w:rsidR="000F6983" w:rsidRPr="008E7A53" w:rsidRDefault="000F6983" w:rsidP="007C0549">
            <w:pPr>
              <w:rPr>
                <w:bCs w:val="0"/>
              </w:rPr>
            </w:pPr>
            <w:r w:rsidRPr="008E7A53">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7C0549">
            <w:pPr>
              <w:rPr>
                <w:bCs w:val="0"/>
              </w:rPr>
            </w:pPr>
            <w:r w:rsidRPr="008E7A53">
              <w:t>Case Managers shall ensure that using EFA is the payer of last resort.</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C47DFE" w:rsidRDefault="000F6983" w:rsidP="000F6983">
            <w:pPr>
              <w:spacing w:after="200" w:line="276" w:lineRule="auto"/>
              <w:jc w:val="left"/>
              <w:rPr>
                <w:rFonts w:eastAsiaTheme="minorHAnsi" w:cs="Arial"/>
                <w:bCs w:val="0"/>
                <w:szCs w:val="22"/>
              </w:rPr>
            </w:pPr>
            <w:r w:rsidRPr="00C47DFE">
              <w:rPr>
                <w:rFonts w:eastAsiaTheme="minorHAnsi" w:cs="Arial"/>
                <w:bCs w:val="0"/>
                <w:szCs w:val="22"/>
              </w:rPr>
              <w:t>1.2</w:t>
            </w:r>
          </w:p>
        </w:tc>
        <w:tc>
          <w:tcPr>
            <w:tcW w:w="3960" w:type="dxa"/>
            <w:tcBorders>
              <w:top w:val="single" w:sz="12" w:space="0" w:color="17365D" w:themeColor="text2" w:themeShade="BF"/>
              <w:bottom w:val="single" w:sz="12" w:space="0" w:color="17365D" w:themeColor="text2" w:themeShade="BF"/>
            </w:tcBorders>
          </w:tcPr>
          <w:p w:rsidR="000F6983" w:rsidRPr="008E7A53" w:rsidRDefault="000F6983" w:rsidP="000F6983">
            <w:pPr>
              <w:spacing w:after="200" w:line="276" w:lineRule="auto"/>
              <w:jc w:val="left"/>
              <w:rPr>
                <w:rFonts w:asciiTheme="minorHAnsi" w:eastAsiaTheme="minorHAnsi" w:hAnsiTheme="minorHAnsi" w:cstheme="minorBidi"/>
                <w:bCs w:val="0"/>
                <w:szCs w:val="22"/>
              </w:rPr>
            </w:pPr>
            <w:r w:rsidRPr="008E7A53">
              <w:t>Documentation of the unavailability of other resources in PE notes.</w:t>
            </w:r>
          </w:p>
        </w:tc>
      </w:tr>
      <w:tr w:rsidR="000F6983" w:rsidRPr="008E7A53" w:rsidTr="007C0549">
        <w:tc>
          <w:tcPr>
            <w:tcW w:w="738" w:type="dxa"/>
            <w:tcBorders>
              <w:top w:val="single" w:sz="12" w:space="0" w:color="17365D" w:themeColor="text2" w:themeShade="BF"/>
              <w:bottom w:val="single" w:sz="12" w:space="0" w:color="17365D" w:themeColor="text2" w:themeShade="BF"/>
            </w:tcBorders>
          </w:tcPr>
          <w:p w:rsidR="000F6983" w:rsidRPr="008E7A53" w:rsidRDefault="000F6983" w:rsidP="007C0549">
            <w:r w:rsidRPr="008E7A53">
              <w:t xml:space="preserve">1.3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7C0549">
            <w:r w:rsidRPr="008E7A53">
              <w:t>Case Managers shall complete the RW Part A temporary assistance request form and fax to the Ryan White Part A Pharmacy.</w:t>
            </w:r>
          </w:p>
          <w:p w:rsidR="000F6983" w:rsidRPr="008E7A53" w:rsidRDefault="000F6983"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pPr>
              <w:rPr>
                <w:bCs w:val="0"/>
              </w:rPr>
            </w:pPr>
            <w:r w:rsidRPr="008E7A53">
              <w:t>1.3</w:t>
            </w:r>
          </w:p>
        </w:tc>
        <w:tc>
          <w:tcPr>
            <w:tcW w:w="3960" w:type="dxa"/>
            <w:tcBorders>
              <w:top w:val="single" w:sz="12" w:space="0" w:color="17365D" w:themeColor="text2" w:themeShade="BF"/>
              <w:bottom w:val="single" w:sz="12" w:space="0" w:color="17365D" w:themeColor="text2" w:themeShade="BF"/>
            </w:tcBorders>
          </w:tcPr>
          <w:p w:rsidR="000F6983" w:rsidRPr="008E7A53" w:rsidRDefault="000F6983" w:rsidP="000F6983">
            <w:pPr>
              <w:rPr>
                <w:bCs w:val="0"/>
              </w:rPr>
            </w:pPr>
            <w:r w:rsidRPr="008E7A53">
              <w:t>Completed form uploaded to PE.</w:t>
            </w:r>
          </w:p>
        </w:tc>
      </w:tr>
    </w:tbl>
    <w:p w:rsidR="00BA06FB" w:rsidRPr="008E7A53" w:rsidRDefault="00BA06FB" w:rsidP="002C5805">
      <w:pPr>
        <w:spacing w:after="0" w:line="240" w:lineRule="auto"/>
        <w:jc w:val="both"/>
        <w:rPr>
          <w:rFonts w:ascii="Arial" w:hAnsi="Arial" w:cs="Arial"/>
          <w:sz w:val="28"/>
        </w:rPr>
      </w:pPr>
    </w:p>
    <w:p w:rsidR="00BA06FB" w:rsidRPr="008E7A53" w:rsidRDefault="00BA06FB" w:rsidP="002C5805">
      <w:pPr>
        <w:spacing w:after="0" w:line="240" w:lineRule="auto"/>
        <w:jc w:val="both"/>
        <w:rPr>
          <w:rFonts w:ascii="Arial" w:hAnsi="Arial" w:cs="Arial"/>
          <w:sz w:val="28"/>
        </w:rPr>
      </w:pPr>
    </w:p>
    <w:p w:rsidR="007C4F82" w:rsidRDefault="007C4F82" w:rsidP="002C5805">
      <w:pPr>
        <w:spacing w:after="0" w:line="240" w:lineRule="auto"/>
        <w:jc w:val="both"/>
        <w:rPr>
          <w:rFonts w:ascii="Arial" w:hAnsi="Arial" w:cs="Arial"/>
          <w:sz w:val="24"/>
        </w:rPr>
        <w:sectPr w:rsidR="007C4F82" w:rsidSect="00B30500">
          <w:footerReference w:type="first" r:id="rId59"/>
          <w:pgSz w:w="12240" w:h="15840" w:code="1"/>
          <w:pgMar w:top="1296" w:right="1440" w:bottom="1296" w:left="1440" w:header="720" w:footer="432" w:gutter="0"/>
          <w:cols w:space="720"/>
          <w:titlePg/>
          <w:docGrid w:linePitch="360"/>
        </w:sectPr>
      </w:pPr>
    </w:p>
    <w:tbl>
      <w:tblPr>
        <w:tblStyle w:val="TableGrid161"/>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7C4F82" w:rsidRPr="008E7A53" w:rsidTr="008579C9">
        <w:tc>
          <w:tcPr>
            <w:tcW w:w="738" w:type="dxa"/>
            <w:tcBorders>
              <w:top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lastRenderedPageBreak/>
              <w:t>1.4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4F82" w:rsidRDefault="007C4F82" w:rsidP="008579C9">
            <w:r w:rsidRPr="008E7A53">
              <w:t>Case Managers shall follow up with consumers to ensure that the barrier(s) to accessing medications through alternative sources have been resolved.</w:t>
            </w:r>
          </w:p>
          <w:p w:rsidR="007C4F82" w:rsidRPr="008E7A53" w:rsidRDefault="007C4F82" w:rsidP="008579C9">
            <w:pPr>
              <w:rPr>
                <w:bCs w:val="0"/>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rPr>
                <w:bCs w:val="0"/>
              </w:rPr>
              <w:t>1.4</w:t>
            </w:r>
          </w:p>
        </w:tc>
        <w:tc>
          <w:tcPr>
            <w:tcW w:w="3960" w:type="dxa"/>
            <w:tcBorders>
              <w:top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Documentation in PE notes.</w:t>
            </w:r>
          </w:p>
        </w:tc>
      </w:tr>
      <w:tr w:rsidR="007C4F82" w:rsidRPr="008E7A53" w:rsidTr="008579C9">
        <w:tc>
          <w:tcPr>
            <w:tcW w:w="738" w:type="dxa"/>
            <w:tcBorders>
              <w:top w:val="single" w:sz="12" w:space="0" w:color="17365D" w:themeColor="text2" w:themeShade="BF"/>
              <w:bottom w:val="single" w:sz="12" w:space="0" w:color="17365D" w:themeColor="text2" w:themeShade="BF"/>
            </w:tcBorders>
          </w:tcPr>
          <w:p w:rsidR="007C4F82" w:rsidRPr="008E7A53" w:rsidRDefault="007C4F82" w:rsidP="008579C9">
            <w:pPr>
              <w:rPr>
                <w:rFonts w:ascii="Calibri" w:hAnsi="Calibri"/>
              </w:rPr>
            </w:pPr>
            <w:r w:rsidRPr="008E7A53">
              <w:t xml:space="preserve">1.5  </w:t>
            </w:r>
          </w:p>
          <w:p w:rsidR="007C4F82" w:rsidRPr="008E7A53" w:rsidRDefault="007C4F82" w:rsidP="008579C9">
            <w:pPr>
              <w:rPr>
                <w:bCs w:val="0"/>
              </w:rPr>
            </w:pP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4F82" w:rsidRPr="008E7A53" w:rsidRDefault="007C4F82" w:rsidP="008579C9">
            <w:r w:rsidRPr="008E7A53">
              <w:t>The Ryan White Part A Pharmacy shall review and approve all EFA requests within 48 business hours.</w:t>
            </w:r>
          </w:p>
          <w:p w:rsidR="007C4F82" w:rsidRPr="008E7A53" w:rsidRDefault="007C4F82" w:rsidP="008579C9">
            <w:pPr>
              <w:rPr>
                <w:bCs w:val="0"/>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 xml:space="preserve">1.5  </w:t>
            </w:r>
          </w:p>
        </w:tc>
        <w:tc>
          <w:tcPr>
            <w:tcW w:w="3960" w:type="dxa"/>
            <w:tcBorders>
              <w:top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Approved form in pharmacy electronic system</w:t>
            </w:r>
          </w:p>
        </w:tc>
      </w:tr>
      <w:tr w:rsidR="007C4F82" w:rsidRPr="008E7A53" w:rsidTr="008579C9">
        <w:tc>
          <w:tcPr>
            <w:tcW w:w="738" w:type="dxa"/>
            <w:tcBorders>
              <w:top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1.6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4F82" w:rsidRPr="008E7A53" w:rsidRDefault="007C4F82" w:rsidP="008579C9">
            <w:r w:rsidRPr="008E7A53">
              <w:t>Pharmacy staff shall contact the Case Manager in the event of a denied or pending EFA.</w:t>
            </w:r>
          </w:p>
          <w:p w:rsidR="007C4F82" w:rsidRPr="008E7A53" w:rsidRDefault="007C4F82" w:rsidP="008579C9">
            <w:pPr>
              <w:rPr>
                <w:bCs w:val="0"/>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 xml:space="preserve">1.6  </w:t>
            </w:r>
          </w:p>
        </w:tc>
        <w:tc>
          <w:tcPr>
            <w:tcW w:w="3960" w:type="dxa"/>
            <w:tcBorders>
              <w:top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Documentation of reason of denial or pending status and Case Manager contact in PE</w:t>
            </w:r>
          </w:p>
        </w:tc>
      </w:tr>
      <w:tr w:rsidR="007C4F82" w:rsidRPr="008E7A53" w:rsidTr="008579C9">
        <w:tc>
          <w:tcPr>
            <w:tcW w:w="738" w:type="dxa"/>
            <w:tcBorders>
              <w:top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1.7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4F82" w:rsidRPr="008E7A53" w:rsidRDefault="007C4F82" w:rsidP="008579C9">
            <w:r w:rsidRPr="008E7A53">
              <w:t xml:space="preserve">A separate completed Temporary Assistance Request form shall be completed for each EFA access.  </w:t>
            </w:r>
          </w:p>
          <w:p w:rsidR="007C4F82" w:rsidRPr="008E7A53" w:rsidRDefault="007C4F82" w:rsidP="008579C9">
            <w:pPr>
              <w:rPr>
                <w:bCs w:val="0"/>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 xml:space="preserve">1.7  </w:t>
            </w:r>
          </w:p>
        </w:tc>
        <w:tc>
          <w:tcPr>
            <w:tcW w:w="3960" w:type="dxa"/>
            <w:tcBorders>
              <w:top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Separate dated forms in PE.</w:t>
            </w:r>
          </w:p>
        </w:tc>
      </w:tr>
      <w:tr w:rsidR="007C4F82" w:rsidRPr="008E7A53" w:rsidTr="008579C9">
        <w:tc>
          <w:tcPr>
            <w:tcW w:w="738" w:type="dxa"/>
            <w:tcBorders>
              <w:top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1.8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4F82" w:rsidRPr="008E7A53" w:rsidRDefault="007C4F82" w:rsidP="008579C9">
            <w:r w:rsidRPr="008E7A53">
              <w:t>EFA services per consumer shall not exceed 6 months unless authorized by the Recipient’s Office.</w:t>
            </w:r>
          </w:p>
          <w:p w:rsidR="007C4F82" w:rsidRPr="008E7A53" w:rsidRDefault="007C4F82" w:rsidP="008579C9">
            <w:pPr>
              <w:rPr>
                <w:bCs w:val="0"/>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 xml:space="preserve">1.8  </w:t>
            </w:r>
          </w:p>
        </w:tc>
        <w:tc>
          <w:tcPr>
            <w:tcW w:w="3960" w:type="dxa"/>
            <w:tcBorders>
              <w:top w:val="single" w:sz="12" w:space="0" w:color="17365D" w:themeColor="text2" w:themeShade="BF"/>
              <w:bottom w:val="single" w:sz="12" w:space="0" w:color="17365D" w:themeColor="text2" w:themeShade="BF"/>
            </w:tcBorders>
          </w:tcPr>
          <w:p w:rsidR="007C4F82" w:rsidRPr="008E7A53" w:rsidRDefault="007C4F82" w:rsidP="008579C9">
            <w:pPr>
              <w:rPr>
                <w:bCs w:val="0"/>
              </w:rPr>
            </w:pPr>
            <w:r w:rsidRPr="008E7A53">
              <w:t>A dated form in PE does not exceed 6 months without Recipient’s Office authorization.</w:t>
            </w:r>
          </w:p>
        </w:tc>
      </w:tr>
    </w:tbl>
    <w:p w:rsidR="007C4F82" w:rsidRPr="008E7A53" w:rsidRDefault="007C4F82" w:rsidP="007C4F82">
      <w:pPr>
        <w:spacing w:after="0" w:line="240" w:lineRule="auto"/>
        <w:jc w:val="both"/>
        <w:rPr>
          <w:rFonts w:ascii="Arial" w:hAnsi="Arial" w:cs="Arial"/>
          <w:sz w:val="28"/>
        </w:rPr>
      </w:pPr>
    </w:p>
    <w:p w:rsidR="007C4F82" w:rsidRPr="008E7A53" w:rsidRDefault="007C4F82" w:rsidP="007C4F82">
      <w:pPr>
        <w:spacing w:after="0" w:line="240" w:lineRule="auto"/>
        <w:jc w:val="both"/>
        <w:rPr>
          <w:rFonts w:ascii="Arial" w:hAnsi="Arial" w:cs="Arial"/>
          <w:sz w:val="28"/>
        </w:rPr>
      </w:pPr>
    </w:p>
    <w:p w:rsidR="007C4F82" w:rsidRDefault="007C4F82" w:rsidP="002C5805">
      <w:pPr>
        <w:spacing w:after="0" w:line="240" w:lineRule="auto"/>
        <w:jc w:val="both"/>
        <w:rPr>
          <w:rFonts w:ascii="Arial" w:hAnsi="Arial" w:cs="Arial"/>
          <w:sz w:val="24"/>
        </w:rPr>
        <w:sectPr w:rsidR="007C4F82" w:rsidSect="00B30500">
          <w:pgSz w:w="12240" w:h="15840" w:code="1"/>
          <w:pgMar w:top="1296" w:right="1440" w:bottom="1296" w:left="1440" w:header="720" w:footer="432" w:gutter="0"/>
          <w:cols w:space="720"/>
          <w:titlePg/>
          <w:docGrid w:linePitch="360"/>
        </w:sectPr>
      </w:pPr>
    </w:p>
    <w:tbl>
      <w:tblPr>
        <w:tblStyle w:val="TableGrid"/>
        <w:tblW w:w="0" w:type="auto"/>
        <w:shd w:val="clear" w:color="auto" w:fill="17365D" w:themeFill="text2" w:themeFillShade="BF"/>
        <w:tblLook w:val="04A0" w:firstRow="1" w:lastRow="0" w:firstColumn="1" w:lastColumn="0" w:noHBand="0" w:noVBand="1"/>
      </w:tblPr>
      <w:tblGrid>
        <w:gridCol w:w="9576"/>
      </w:tblGrid>
      <w:tr w:rsidR="00BA06FB" w:rsidTr="00BA06FB">
        <w:tc>
          <w:tcPr>
            <w:tcW w:w="9576" w:type="dxa"/>
            <w:shd w:val="clear" w:color="auto" w:fill="17365D" w:themeFill="text2" w:themeFillShade="BF"/>
          </w:tcPr>
          <w:p w:rsidR="00BA06FB" w:rsidRPr="00BA06FB" w:rsidRDefault="00BA06FB" w:rsidP="000F6983">
            <w:pPr>
              <w:pStyle w:val="Heading2"/>
              <w:spacing w:before="0"/>
              <w:jc w:val="center"/>
              <w:outlineLvl w:val="1"/>
              <w:rPr>
                <w:rFonts w:ascii="Arial" w:hAnsi="Arial"/>
              </w:rPr>
            </w:pPr>
            <w:bookmarkStart w:id="82" w:name="_Food_Bank/Home_Delivered"/>
            <w:bookmarkStart w:id="83" w:name="_Toc489280917"/>
            <w:bookmarkEnd w:id="82"/>
            <w:r w:rsidRPr="000F6983">
              <w:rPr>
                <w:color w:val="FFFFFF" w:themeColor="background1"/>
                <w:sz w:val="32"/>
              </w:rPr>
              <w:lastRenderedPageBreak/>
              <w:t>Food Bank/Home Delivered Meals</w:t>
            </w:r>
            <w:bookmarkEnd w:id="83"/>
          </w:p>
        </w:tc>
      </w:tr>
    </w:tbl>
    <w:p w:rsidR="00BA06FB" w:rsidRDefault="00BA06FB" w:rsidP="002C5805">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0F6983">
              <w:rPr>
                <w:rFonts w:cs="Arial"/>
                <w:b/>
              </w:rPr>
              <w:t>Definition:</w:t>
            </w:r>
            <w:r w:rsidRPr="000F6983">
              <w:rPr>
                <w:rFonts w:cs="Arial"/>
              </w:rPr>
              <w:t xml:space="preserve"> </w:t>
            </w:r>
          </w:p>
          <w:p w:rsidR="00C47DFE" w:rsidRPr="000F6983" w:rsidRDefault="00C47DFE" w:rsidP="00C47DFE">
            <w:pPr>
              <w:rPr>
                <w:rFonts w:cs="Arial"/>
              </w:rPr>
            </w:pPr>
            <w:r w:rsidRPr="000F6983">
              <w:rPr>
                <w:rFonts w:cs="Arial"/>
              </w:rPr>
              <w:t xml:space="preserve">Food bank/home-delivered meals refer to the provision of actual food items, hot meals or a voucher program to purchase food. This also includes the provision of essential non-food items that are limited to the following: </w:t>
            </w:r>
          </w:p>
          <w:p w:rsidR="00C47DFE" w:rsidRPr="000F6983" w:rsidRDefault="00C47DFE" w:rsidP="001B1B43">
            <w:pPr>
              <w:pStyle w:val="ListParagraph"/>
              <w:numPr>
                <w:ilvl w:val="0"/>
                <w:numId w:val="83"/>
              </w:numPr>
              <w:rPr>
                <w:rFonts w:cs="Arial"/>
              </w:rPr>
            </w:pPr>
            <w:r w:rsidRPr="000F6983">
              <w:rPr>
                <w:rFonts w:cs="Arial"/>
              </w:rPr>
              <w:t xml:space="preserve">Personal hygiene products </w:t>
            </w:r>
          </w:p>
          <w:p w:rsidR="00C47DFE" w:rsidRPr="000F6983" w:rsidRDefault="00C47DFE" w:rsidP="001B1B43">
            <w:pPr>
              <w:pStyle w:val="ListParagraph"/>
              <w:numPr>
                <w:ilvl w:val="0"/>
                <w:numId w:val="83"/>
              </w:numPr>
              <w:rPr>
                <w:rFonts w:cs="Arial"/>
              </w:rPr>
            </w:pPr>
            <w:r w:rsidRPr="000F6983">
              <w:rPr>
                <w:rFonts w:cs="Arial"/>
              </w:rPr>
              <w:t xml:space="preserve">Household cleaning supplies </w:t>
            </w:r>
          </w:p>
          <w:p w:rsidR="00C47DFE" w:rsidRPr="000F6983" w:rsidRDefault="00C47DFE" w:rsidP="001B1B43">
            <w:pPr>
              <w:pStyle w:val="ListParagraph"/>
              <w:numPr>
                <w:ilvl w:val="0"/>
                <w:numId w:val="83"/>
              </w:numPr>
              <w:rPr>
                <w:rFonts w:cs="Arial"/>
              </w:rPr>
            </w:pPr>
            <w:r w:rsidRPr="000F6983">
              <w:rPr>
                <w:rFonts w:cs="Arial"/>
              </w:rPr>
              <w:t>Water filtration/purification systems in communities where issues of water safety exist</w:t>
            </w:r>
          </w:p>
          <w:p w:rsidR="00C47DFE" w:rsidRPr="000F6983" w:rsidRDefault="00C47DFE" w:rsidP="00C47DFE">
            <w:pPr>
              <w:rPr>
                <w:rFonts w:cs="Arial"/>
              </w:rPr>
            </w:pPr>
          </w:p>
          <w:p w:rsidR="00C47DFE" w:rsidRPr="00C47DFE" w:rsidRDefault="00C47DFE" w:rsidP="00C47DFE">
            <w:pPr>
              <w:rPr>
                <w:rFonts w:cs="Arial"/>
                <w:b/>
                <w:sz w:val="22"/>
              </w:rPr>
            </w:pPr>
            <w:r w:rsidRPr="00C47DFE">
              <w:rPr>
                <w:rFonts w:cs="Arial"/>
                <w:b/>
                <w:sz w:val="22"/>
              </w:rPr>
              <w:t>Note: The Orlando EMA funds food bank services only. Household appliances, pet foods, and other non-essential products are not allowed.</w:t>
            </w:r>
          </w:p>
          <w:p w:rsidR="00C47DFE" w:rsidRPr="000F6983" w:rsidRDefault="00C47DFE" w:rsidP="00C47DFE">
            <w:pPr>
              <w:rPr>
                <w:rFonts w:cs="Arial"/>
              </w:rPr>
            </w:pPr>
          </w:p>
          <w:p w:rsidR="00C47DFE" w:rsidRDefault="00C47DFE" w:rsidP="00C47DFE">
            <w:pPr>
              <w:rPr>
                <w:rFonts w:cs="Arial"/>
                <w:b/>
              </w:rPr>
            </w:pPr>
            <w:r w:rsidRPr="000F6983">
              <w:rPr>
                <w:rFonts w:cs="Arial"/>
                <w:b/>
              </w:rPr>
              <w:t xml:space="preserve">Eligibility: </w:t>
            </w:r>
          </w:p>
          <w:p w:rsidR="00C47DFE" w:rsidRDefault="00C47DFE" w:rsidP="00C47DFE">
            <w:pPr>
              <w:rPr>
                <w:rFonts w:cs="Arial"/>
              </w:rPr>
            </w:pPr>
            <w:r w:rsidRPr="000F6983">
              <w:rPr>
                <w:rFonts w:cs="Arial"/>
              </w:rPr>
              <w:t>Consumers accessing Food Bank/Home Delivered Meals Services shall be at or below 200% of the Federal Poverty Level (FPL).</w:t>
            </w:r>
          </w:p>
        </w:tc>
      </w:tr>
    </w:tbl>
    <w:p w:rsidR="000F6983" w:rsidRPr="000F6983" w:rsidRDefault="000F6983" w:rsidP="000F6983">
      <w:pPr>
        <w:spacing w:after="0" w:line="240" w:lineRule="auto"/>
        <w:jc w:val="both"/>
        <w:rPr>
          <w:rFonts w:ascii="Arial" w:hAnsi="Arial" w:cs="Arial"/>
          <w:sz w:val="24"/>
        </w:rPr>
      </w:pPr>
    </w:p>
    <w:tbl>
      <w:tblPr>
        <w:tblStyle w:val="TableGrid17"/>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9576"/>
      </w:tblGrid>
      <w:tr w:rsidR="000F6983" w:rsidRPr="000F6983" w:rsidTr="007C0549">
        <w:tc>
          <w:tcPr>
            <w:tcW w:w="9576" w:type="dxa"/>
            <w:tcBorders>
              <w:top w:val="single" w:sz="12" w:space="0" w:color="17365D" w:themeColor="text2" w:themeShade="BF"/>
              <w:bottom w:val="single" w:sz="12" w:space="0" w:color="17365D" w:themeColor="text2" w:themeShade="BF"/>
            </w:tcBorders>
          </w:tcPr>
          <w:p w:rsidR="000F6983" w:rsidRPr="000F6983" w:rsidRDefault="000F6983" w:rsidP="000F6983">
            <w:pPr>
              <w:pStyle w:val="Heading3"/>
              <w:spacing w:before="0"/>
              <w:outlineLvl w:val="2"/>
              <w:rPr>
                <w:rFonts w:eastAsia="Calibri"/>
                <w:bCs/>
              </w:rPr>
            </w:pPr>
            <w:bookmarkStart w:id="84" w:name="_Toc489280918"/>
            <w:r w:rsidRPr="000F6983">
              <w:rPr>
                <w:rFonts w:eastAsia="Calibri"/>
                <w:bCs/>
                <w:sz w:val="28"/>
              </w:rPr>
              <w:t>1.0 Agency Policies and Procedures for Food Pantries</w:t>
            </w:r>
            <w:bookmarkEnd w:id="84"/>
          </w:p>
        </w:tc>
      </w:tr>
    </w:tbl>
    <w:p w:rsidR="000F6983" w:rsidRPr="000F6983" w:rsidRDefault="000F6983" w:rsidP="000F6983">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0F6983">
              <w:rPr>
                <w:rFonts w:cs="Arial"/>
              </w:rPr>
              <w:t>The agencies shall have policy and procedures to ensure that the services are accessible to all eligible consumers. The agency policy and procedures shall ensure compliance with the following standards.</w:t>
            </w:r>
          </w:p>
        </w:tc>
      </w:tr>
    </w:tbl>
    <w:p w:rsidR="000F6983" w:rsidRPr="000F6983" w:rsidRDefault="000F6983" w:rsidP="000F6983">
      <w:pPr>
        <w:spacing w:after="0" w:line="240" w:lineRule="auto"/>
        <w:jc w:val="both"/>
        <w:rPr>
          <w:rFonts w:ascii="Arial" w:hAnsi="Arial" w:cs="Arial"/>
          <w:sz w:val="24"/>
        </w:rPr>
      </w:pPr>
    </w:p>
    <w:tbl>
      <w:tblPr>
        <w:tblStyle w:val="TableGrid17"/>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0F6983" w:rsidRPr="000F6983" w:rsidTr="000F6983">
        <w:trPr>
          <w:trHeight w:val="396"/>
        </w:trPr>
        <w:tc>
          <w:tcPr>
            <w:tcW w:w="9558" w:type="dxa"/>
            <w:gridSpan w:val="6"/>
            <w:shd w:val="clear" w:color="auto" w:fill="17365D" w:themeFill="text2" w:themeFillShade="BF"/>
          </w:tcPr>
          <w:p w:rsidR="000F6983" w:rsidRPr="000F6983" w:rsidRDefault="000F6983" w:rsidP="000F6983">
            <w:pPr>
              <w:pStyle w:val="Heading4"/>
              <w:spacing w:before="0"/>
              <w:outlineLvl w:val="3"/>
              <w:rPr>
                <w:rFonts w:eastAsia="Calibri"/>
              </w:rPr>
            </w:pPr>
            <w:r w:rsidRPr="000F6983">
              <w:rPr>
                <w:rFonts w:eastAsia="Calibri"/>
                <w:color w:val="FFFFFF" w:themeColor="background1"/>
                <w:sz w:val="28"/>
              </w:rPr>
              <w:t>1.0 Agency Policies and Procedures for Food Pantries</w:t>
            </w:r>
          </w:p>
        </w:tc>
      </w:tr>
      <w:tr w:rsidR="000F6983" w:rsidRPr="000F6983" w:rsidTr="007C0549">
        <w:tc>
          <w:tcPr>
            <w:tcW w:w="720" w:type="dxa"/>
          </w:tcPr>
          <w:p w:rsidR="000F6983" w:rsidRPr="000F6983" w:rsidRDefault="000F6983" w:rsidP="000F6983"/>
        </w:tc>
        <w:tc>
          <w:tcPr>
            <w:tcW w:w="4176" w:type="dxa"/>
            <w:gridSpan w:val="2"/>
          </w:tcPr>
          <w:p w:rsidR="000F6983" w:rsidRPr="000F6983" w:rsidRDefault="000F6983" w:rsidP="000F6983"/>
        </w:tc>
        <w:tc>
          <w:tcPr>
            <w:tcW w:w="720" w:type="dxa"/>
            <w:gridSpan w:val="2"/>
          </w:tcPr>
          <w:p w:rsidR="000F6983" w:rsidRPr="000F6983" w:rsidRDefault="000F6983" w:rsidP="000F6983"/>
        </w:tc>
        <w:tc>
          <w:tcPr>
            <w:tcW w:w="3942" w:type="dxa"/>
          </w:tcPr>
          <w:p w:rsidR="000F6983" w:rsidRPr="000F6983" w:rsidRDefault="000F6983" w:rsidP="000F6983"/>
        </w:tc>
      </w:tr>
      <w:tr w:rsidR="000F6983" w:rsidRPr="000F6983" w:rsidTr="007C0549">
        <w:tc>
          <w:tcPr>
            <w:tcW w:w="4896" w:type="dxa"/>
            <w:gridSpan w:val="3"/>
            <w:tcBorders>
              <w:bottom w:val="single" w:sz="12" w:space="0" w:color="17365D" w:themeColor="text2" w:themeShade="BF"/>
              <w:right w:val="single" w:sz="12" w:space="0" w:color="17365D" w:themeColor="text2" w:themeShade="BF"/>
            </w:tcBorders>
            <w:vAlign w:val="center"/>
          </w:tcPr>
          <w:p w:rsidR="000F6983" w:rsidRPr="008E7A53" w:rsidRDefault="000F6983" w:rsidP="000F6983">
            <w:pPr>
              <w:jc w:val="center"/>
              <w:rPr>
                <w:rStyle w:val="BookTitle"/>
              </w:rPr>
            </w:pPr>
            <w:r w:rsidRPr="008E7A53">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0F6983" w:rsidRPr="008E7A53" w:rsidRDefault="000F6983" w:rsidP="000F6983">
            <w:pPr>
              <w:jc w:val="center"/>
              <w:rPr>
                <w:rStyle w:val="BookTitle"/>
              </w:rPr>
            </w:pPr>
            <w:r w:rsidRPr="008E7A53">
              <w:rPr>
                <w:rStyle w:val="BookTitle"/>
              </w:rPr>
              <w:t>Measures</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0F6983">
            <w:r w:rsidRPr="008E7A53">
              <w:t>Agencies with a food pantry program shall comply with local, state, and federal food safety, sanitization, and safety regulations.</w:t>
            </w:r>
          </w:p>
          <w:p w:rsidR="000F6983" w:rsidRPr="008E7A53" w:rsidRDefault="000F6983" w:rsidP="000F698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1.1</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Policy in place that reflects guidelines</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0F6983">
            <w:r w:rsidRPr="008E7A53">
              <w:t xml:space="preserve">Agencies with a </w:t>
            </w:r>
            <w:r w:rsidR="00F14F6F" w:rsidRPr="008E7A53">
              <w:t>food pantry</w:t>
            </w:r>
            <w:r w:rsidRPr="008E7A53">
              <w:t xml:space="preserve"> shall comply with the USDA Department of Agriculture food handling guidelines.</w:t>
            </w:r>
          </w:p>
          <w:p w:rsidR="00F14F6F" w:rsidRPr="008E7A53" w:rsidRDefault="00F14F6F" w:rsidP="000F698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1.2</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pPr>
              <w:contextualSpacing/>
            </w:pPr>
            <w:r w:rsidRPr="008E7A53">
              <w:t>USDA guidelines on file and copies of monitoring by regulatory agencies available in agency records</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1.3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0F6983" w:rsidP="000F6983">
            <w:r w:rsidRPr="008E7A53">
              <w:t>Agencies with a food pantry shall maintain and show evidence that all required inspections are current, and resulted in acceptable findings.</w:t>
            </w:r>
          </w:p>
          <w:p w:rsidR="000F6983" w:rsidRPr="008E7A53" w:rsidRDefault="000F6983" w:rsidP="000F6983">
            <w:r w:rsidRPr="008E7A53">
              <w:t xml:space="preserve">  </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1.3</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Inspection reports available upon request.</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1.4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0F6983">
            <w:r w:rsidRPr="008E7A53">
              <w:t xml:space="preserve">Agencies with a </w:t>
            </w:r>
            <w:r w:rsidR="00F14F6F" w:rsidRPr="008E7A53">
              <w:t>food pantry</w:t>
            </w:r>
            <w:r w:rsidRPr="008E7A53">
              <w:t xml:space="preserve"> shall provide adequate space and equipment to store food in a sanitary </w:t>
            </w:r>
            <w:r w:rsidRPr="008E7A53">
              <w:lastRenderedPageBreak/>
              <w:t>manner.</w:t>
            </w:r>
          </w:p>
          <w:p w:rsidR="00F14F6F" w:rsidRPr="008E7A53" w:rsidRDefault="00F14F6F" w:rsidP="000F698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lastRenderedPageBreak/>
              <w:t>1.4</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F14F6F">
            <w:pPr>
              <w:jc w:val="left"/>
            </w:pPr>
            <w:r w:rsidRPr="008E7A53">
              <w:t>Appropriate space and equipment available upon inspection/observation.</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lastRenderedPageBreak/>
              <w:t>1.5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0F6983">
            <w:r w:rsidRPr="008E7A53">
              <w:t>Agencies with a food pantry shall comply with procedures for purchasing, receiving, sorting, issuing, preparing, and service of safe food and beverage products.</w:t>
            </w:r>
          </w:p>
          <w:p w:rsidR="00F14F6F" w:rsidRPr="008E7A53" w:rsidRDefault="00F14F6F" w:rsidP="000F698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1.5</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Procedures and certifications on file.</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1.6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0F6983">
            <w:r w:rsidRPr="008E7A53">
              <w:t>All food pantry staff members repackaging bulk foods shall have current and valid food handling permits or license.</w:t>
            </w:r>
          </w:p>
          <w:p w:rsidR="00F14F6F" w:rsidRPr="008E7A53" w:rsidRDefault="00F14F6F" w:rsidP="000F698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1.6</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Permits/license on file at provider agency</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1.7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0F6983">
            <w:r w:rsidRPr="008E7A53">
              <w:t>All new food pantry staff members shall attend educational seminars regarding food safety within three months of hire and annually thereafter.</w:t>
            </w:r>
          </w:p>
          <w:p w:rsidR="00F14F6F" w:rsidRPr="008E7A53" w:rsidRDefault="00F14F6F" w:rsidP="000F698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1.7</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Education certificates on file at provider agency for each staff member</w:t>
            </w:r>
          </w:p>
        </w:tc>
      </w:tr>
    </w:tbl>
    <w:p w:rsidR="00F14F6F" w:rsidRDefault="00F14F6F" w:rsidP="00F14F6F">
      <w:pPr>
        <w:spacing w:after="0" w:line="240" w:lineRule="auto"/>
        <w:jc w:val="both"/>
        <w:rPr>
          <w:rFonts w:ascii="Arial" w:hAnsi="Arial" w:cs="Arial"/>
          <w:sz w:val="24"/>
        </w:rPr>
      </w:pPr>
    </w:p>
    <w:tbl>
      <w:tblPr>
        <w:tblStyle w:val="TableGrid17"/>
        <w:tblW w:w="9576" w:type="dxa"/>
        <w:tblLayout w:type="fixed"/>
        <w:tblLook w:val="04A0" w:firstRow="1" w:lastRow="0" w:firstColumn="1" w:lastColumn="0" w:noHBand="0" w:noVBand="1"/>
      </w:tblPr>
      <w:tblGrid>
        <w:gridCol w:w="9576"/>
      </w:tblGrid>
      <w:tr w:rsidR="00960D4B" w:rsidRPr="000F6983" w:rsidTr="00960D4B">
        <w:tc>
          <w:tcPr>
            <w:tcW w:w="9576" w:type="dxa"/>
            <w:tcBorders>
              <w:top w:val="single" w:sz="12" w:space="0" w:color="17365D" w:themeColor="text2" w:themeShade="BF"/>
              <w:left w:val="nil"/>
              <w:bottom w:val="single" w:sz="12" w:space="0" w:color="17365D" w:themeColor="text2" w:themeShade="BF"/>
              <w:right w:val="nil"/>
            </w:tcBorders>
          </w:tcPr>
          <w:p w:rsidR="00960D4B" w:rsidRPr="000F6983" w:rsidRDefault="00960D4B" w:rsidP="00960D4B">
            <w:pPr>
              <w:pStyle w:val="Heading3"/>
              <w:spacing w:before="0"/>
              <w:outlineLvl w:val="2"/>
              <w:rPr>
                <w:rFonts w:eastAsia="Calibri"/>
                <w:bCs/>
              </w:rPr>
            </w:pPr>
            <w:bookmarkStart w:id="85" w:name="_Toc489280919"/>
            <w:r>
              <w:rPr>
                <w:sz w:val="28"/>
                <w:szCs w:val="28"/>
              </w:rPr>
              <w:t xml:space="preserve">2.0 </w:t>
            </w:r>
            <w:r w:rsidRPr="002A2C03">
              <w:rPr>
                <w:sz w:val="28"/>
                <w:szCs w:val="28"/>
              </w:rPr>
              <w:t>Food Pantry Scope of Work</w:t>
            </w:r>
            <w:bookmarkEnd w:id="85"/>
          </w:p>
        </w:tc>
      </w:tr>
    </w:tbl>
    <w:p w:rsidR="00C47DFE" w:rsidRDefault="00C47DFE" w:rsidP="00C47DFE">
      <w:pPr>
        <w:spacing w:after="0"/>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960D4B">
              <w:rPr>
                <w:rFonts w:cs="Arial"/>
              </w:rPr>
              <w:t>The objective of the Scope of Work Standard for Food Bank/Home Delivered Meals is to ensure that Ryan White Part A is the payer of last resort.</w:t>
            </w:r>
          </w:p>
        </w:tc>
      </w:tr>
    </w:tbl>
    <w:p w:rsidR="00960D4B" w:rsidRPr="000F6983" w:rsidRDefault="00960D4B" w:rsidP="00F14F6F">
      <w:pPr>
        <w:spacing w:after="0" w:line="240" w:lineRule="auto"/>
        <w:jc w:val="both"/>
        <w:rPr>
          <w:rFonts w:ascii="Arial" w:hAnsi="Arial" w:cs="Arial"/>
          <w:sz w:val="24"/>
        </w:rPr>
      </w:pPr>
    </w:p>
    <w:tbl>
      <w:tblPr>
        <w:tblStyle w:val="TableGrid17"/>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3438"/>
        <w:gridCol w:w="720"/>
        <w:gridCol w:w="702"/>
        <w:gridCol w:w="3240"/>
        <w:gridCol w:w="720"/>
      </w:tblGrid>
      <w:tr w:rsidR="00F14F6F" w:rsidRPr="000F6983" w:rsidTr="00F14F6F">
        <w:trPr>
          <w:trHeight w:val="396"/>
        </w:trPr>
        <w:tc>
          <w:tcPr>
            <w:tcW w:w="9558" w:type="dxa"/>
            <w:gridSpan w:val="6"/>
            <w:shd w:val="clear" w:color="auto" w:fill="17365D" w:themeFill="text2" w:themeFillShade="BF"/>
          </w:tcPr>
          <w:p w:rsidR="00F14F6F" w:rsidRPr="000F6983" w:rsidRDefault="00F14F6F" w:rsidP="007C0549">
            <w:pPr>
              <w:pStyle w:val="Heading4"/>
              <w:spacing w:before="0"/>
              <w:outlineLvl w:val="3"/>
              <w:rPr>
                <w:rFonts w:eastAsia="Calibri"/>
              </w:rPr>
            </w:pPr>
            <w:r w:rsidRPr="00F14F6F">
              <w:rPr>
                <w:rFonts w:eastAsia="Calibri"/>
                <w:bCs/>
                <w:color w:val="FFFFFF" w:themeColor="background1"/>
                <w:sz w:val="28"/>
              </w:rPr>
              <w:t>2.0   Food Pantry Scope of Work</w:t>
            </w:r>
          </w:p>
        </w:tc>
      </w:tr>
      <w:tr w:rsidR="00F14F6F" w:rsidRPr="000F6983" w:rsidTr="00F14F6F">
        <w:trPr>
          <w:gridAfter w:val="1"/>
          <w:wAfter w:w="720" w:type="dxa"/>
        </w:trPr>
        <w:tc>
          <w:tcPr>
            <w:tcW w:w="4176" w:type="dxa"/>
            <w:gridSpan w:val="2"/>
          </w:tcPr>
          <w:p w:rsidR="00F14F6F" w:rsidRPr="000F6983" w:rsidRDefault="00F14F6F" w:rsidP="007C0549"/>
        </w:tc>
        <w:tc>
          <w:tcPr>
            <w:tcW w:w="720" w:type="dxa"/>
          </w:tcPr>
          <w:p w:rsidR="00F14F6F" w:rsidRPr="000F6983" w:rsidRDefault="00F14F6F" w:rsidP="007C0549"/>
        </w:tc>
        <w:tc>
          <w:tcPr>
            <w:tcW w:w="3942" w:type="dxa"/>
            <w:gridSpan w:val="2"/>
          </w:tcPr>
          <w:p w:rsidR="00F14F6F" w:rsidRPr="000F6983" w:rsidRDefault="00F14F6F" w:rsidP="007C0549"/>
        </w:tc>
      </w:tr>
      <w:tr w:rsidR="00F14F6F" w:rsidRPr="000F6983" w:rsidTr="00F14F6F">
        <w:tc>
          <w:tcPr>
            <w:tcW w:w="4896" w:type="dxa"/>
            <w:gridSpan w:val="3"/>
            <w:tcBorders>
              <w:bottom w:val="single" w:sz="12" w:space="0" w:color="17365D" w:themeColor="text2" w:themeShade="BF"/>
              <w:right w:val="single" w:sz="12" w:space="0" w:color="17365D" w:themeColor="text2" w:themeShade="BF"/>
            </w:tcBorders>
            <w:vAlign w:val="center"/>
          </w:tcPr>
          <w:p w:rsidR="00F14F6F" w:rsidRPr="008E7A53" w:rsidRDefault="00F14F6F" w:rsidP="007C0549">
            <w:pPr>
              <w:jc w:val="center"/>
              <w:rPr>
                <w:rStyle w:val="BookTitle"/>
              </w:rPr>
            </w:pPr>
            <w:r w:rsidRPr="008E7A53">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F14F6F" w:rsidRPr="008E7A53" w:rsidRDefault="00F14F6F" w:rsidP="007C0549">
            <w:pPr>
              <w:jc w:val="center"/>
              <w:rPr>
                <w:rStyle w:val="BookTitle"/>
              </w:rPr>
            </w:pPr>
            <w:r w:rsidRPr="008E7A53">
              <w:rPr>
                <w:rStyle w:val="BookTitle"/>
              </w:rPr>
              <w:t>Measures</w:t>
            </w:r>
          </w:p>
        </w:tc>
      </w:tr>
      <w:tr w:rsidR="00F14F6F" w:rsidRPr="000F6983" w:rsidTr="00F14F6F">
        <w:tc>
          <w:tcPr>
            <w:tcW w:w="738" w:type="dxa"/>
            <w:tcBorders>
              <w:top w:val="single" w:sz="12" w:space="0" w:color="17365D" w:themeColor="text2" w:themeShade="BF"/>
              <w:bottom w:val="single" w:sz="12" w:space="0" w:color="17365D" w:themeColor="text2" w:themeShade="BF"/>
            </w:tcBorders>
          </w:tcPr>
          <w:p w:rsidR="00F14F6F" w:rsidRPr="008E7A53" w:rsidRDefault="00F14F6F" w:rsidP="00F14F6F">
            <w:r w:rsidRPr="008E7A53">
              <w:t xml:space="preserve">2.1 </w:t>
            </w:r>
          </w:p>
        </w:tc>
        <w:tc>
          <w:tcPr>
            <w:tcW w:w="4158" w:type="dxa"/>
            <w:gridSpan w:val="2"/>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F14F6F" w:rsidP="007C0549">
            <w:r w:rsidRPr="008E7A53">
              <w:t>No food bag shall contain cans that are dented, swollen, showing rust, or missing a label in accordance with FDA Regulations.</w:t>
            </w:r>
          </w:p>
          <w:p w:rsidR="00F14F6F" w:rsidRPr="008E7A53" w:rsidRDefault="00F14F6F"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14F6F" w:rsidRPr="008E7A53" w:rsidRDefault="00F14F6F" w:rsidP="007C0549">
            <w:r w:rsidRPr="008E7A53">
              <w:t>2.1</w:t>
            </w:r>
          </w:p>
        </w:tc>
        <w:tc>
          <w:tcPr>
            <w:tcW w:w="3960" w:type="dxa"/>
            <w:gridSpan w:val="2"/>
            <w:tcBorders>
              <w:top w:val="single" w:sz="12" w:space="0" w:color="17365D" w:themeColor="text2" w:themeShade="BF"/>
              <w:bottom w:val="single" w:sz="12" w:space="0" w:color="17365D" w:themeColor="text2" w:themeShade="BF"/>
            </w:tcBorders>
          </w:tcPr>
          <w:p w:rsidR="00F14F6F" w:rsidRPr="008E7A53" w:rsidRDefault="00F14F6F" w:rsidP="00F14F6F">
            <w:r w:rsidRPr="008E7A53">
              <w:t>Bag and pantry inspections</w:t>
            </w:r>
          </w:p>
        </w:tc>
      </w:tr>
      <w:tr w:rsidR="00F14F6F" w:rsidRPr="000F6983" w:rsidTr="00F14F6F">
        <w:tc>
          <w:tcPr>
            <w:tcW w:w="738" w:type="dxa"/>
            <w:tcBorders>
              <w:top w:val="single" w:sz="12" w:space="0" w:color="17365D" w:themeColor="text2" w:themeShade="BF"/>
              <w:bottom w:val="single" w:sz="12" w:space="0" w:color="17365D" w:themeColor="text2" w:themeShade="BF"/>
            </w:tcBorders>
          </w:tcPr>
          <w:p w:rsidR="00F14F6F" w:rsidRPr="008E7A53" w:rsidRDefault="00F14F6F" w:rsidP="00F14F6F">
            <w:r w:rsidRPr="008E7A53">
              <w:t>2.2</w:t>
            </w:r>
          </w:p>
        </w:tc>
        <w:tc>
          <w:tcPr>
            <w:tcW w:w="4158" w:type="dxa"/>
            <w:gridSpan w:val="2"/>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F14F6F" w:rsidP="007C0549">
            <w:r w:rsidRPr="008E7A53">
              <w:t>All milk and cheese products shall have the word pasteurized on the label.</w:t>
            </w:r>
          </w:p>
          <w:p w:rsidR="00F14F6F" w:rsidRPr="008E7A53" w:rsidRDefault="00F14F6F"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14F6F" w:rsidRPr="008E7A53" w:rsidRDefault="00F14F6F" w:rsidP="007C0549">
            <w:pPr>
              <w:rPr>
                <w:bCs w:val="0"/>
              </w:rPr>
            </w:pPr>
            <w:r w:rsidRPr="008E7A53">
              <w:t>2.2</w:t>
            </w:r>
          </w:p>
        </w:tc>
        <w:tc>
          <w:tcPr>
            <w:tcW w:w="3960" w:type="dxa"/>
            <w:gridSpan w:val="2"/>
            <w:tcBorders>
              <w:top w:val="single" w:sz="12" w:space="0" w:color="17365D" w:themeColor="text2" w:themeShade="BF"/>
              <w:bottom w:val="single" w:sz="12" w:space="0" w:color="17365D" w:themeColor="text2" w:themeShade="BF"/>
            </w:tcBorders>
          </w:tcPr>
          <w:p w:rsidR="00F14F6F" w:rsidRPr="008E7A53" w:rsidRDefault="00F14F6F" w:rsidP="00F14F6F">
            <w:pPr>
              <w:rPr>
                <w:bCs w:val="0"/>
              </w:rPr>
            </w:pPr>
            <w:r w:rsidRPr="008E7A53">
              <w:t>Pantry Inspection</w:t>
            </w:r>
          </w:p>
        </w:tc>
      </w:tr>
      <w:tr w:rsidR="00F14F6F" w:rsidRPr="000F6983" w:rsidTr="00F14F6F">
        <w:tc>
          <w:tcPr>
            <w:tcW w:w="738" w:type="dxa"/>
            <w:tcBorders>
              <w:top w:val="single" w:sz="12" w:space="0" w:color="17365D" w:themeColor="text2" w:themeShade="BF"/>
              <w:bottom w:val="single" w:sz="12" w:space="0" w:color="17365D" w:themeColor="text2" w:themeShade="BF"/>
            </w:tcBorders>
          </w:tcPr>
          <w:p w:rsidR="00F14F6F" w:rsidRPr="008E7A53" w:rsidRDefault="00F14F6F" w:rsidP="00F14F6F">
            <w:r w:rsidRPr="008E7A53">
              <w:t>2.3</w:t>
            </w:r>
          </w:p>
        </w:tc>
        <w:tc>
          <w:tcPr>
            <w:tcW w:w="4158" w:type="dxa"/>
            <w:gridSpan w:val="2"/>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F14F6F" w:rsidP="007C0549">
            <w:r w:rsidRPr="008E7A53">
              <w:t>Fresh food such as bread shall be free of any mold.</w:t>
            </w:r>
          </w:p>
          <w:p w:rsidR="00F14F6F" w:rsidRPr="008E7A53" w:rsidRDefault="00F14F6F" w:rsidP="007C0549">
            <w:pPr>
              <w:rPr>
                <w:bCs w:val="0"/>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14F6F" w:rsidRPr="008E7A53" w:rsidRDefault="00F14F6F" w:rsidP="007C0549">
            <w:pPr>
              <w:rPr>
                <w:bCs w:val="0"/>
              </w:rPr>
            </w:pPr>
            <w:r w:rsidRPr="008E7A53">
              <w:t>2.3</w:t>
            </w:r>
          </w:p>
        </w:tc>
        <w:tc>
          <w:tcPr>
            <w:tcW w:w="3960" w:type="dxa"/>
            <w:gridSpan w:val="2"/>
            <w:tcBorders>
              <w:top w:val="single" w:sz="12" w:space="0" w:color="17365D" w:themeColor="text2" w:themeShade="BF"/>
              <w:bottom w:val="single" w:sz="12" w:space="0" w:color="17365D" w:themeColor="text2" w:themeShade="BF"/>
            </w:tcBorders>
          </w:tcPr>
          <w:p w:rsidR="00F14F6F" w:rsidRPr="008E7A53" w:rsidRDefault="00F14F6F" w:rsidP="00F14F6F">
            <w:pPr>
              <w:rPr>
                <w:bCs w:val="0"/>
              </w:rPr>
            </w:pPr>
            <w:r w:rsidRPr="008E7A53">
              <w:t>Pantry Inspection</w:t>
            </w:r>
          </w:p>
        </w:tc>
      </w:tr>
      <w:tr w:rsidR="00F14F6F" w:rsidRPr="000F6983" w:rsidTr="00F14F6F">
        <w:tc>
          <w:tcPr>
            <w:tcW w:w="738" w:type="dxa"/>
            <w:tcBorders>
              <w:top w:val="single" w:sz="12" w:space="0" w:color="17365D" w:themeColor="text2" w:themeShade="BF"/>
              <w:bottom w:val="single" w:sz="12" w:space="0" w:color="17365D" w:themeColor="text2" w:themeShade="BF"/>
            </w:tcBorders>
          </w:tcPr>
          <w:p w:rsidR="00F14F6F" w:rsidRPr="008E7A53" w:rsidRDefault="00F14F6F" w:rsidP="00F14F6F">
            <w:pPr>
              <w:rPr>
                <w:bCs w:val="0"/>
              </w:rPr>
            </w:pPr>
            <w:r w:rsidRPr="008E7A53">
              <w:t>2.4</w:t>
            </w:r>
          </w:p>
        </w:tc>
        <w:tc>
          <w:tcPr>
            <w:tcW w:w="4158" w:type="dxa"/>
            <w:gridSpan w:val="2"/>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F14F6F" w:rsidP="007C0549">
            <w:r w:rsidRPr="008E7A53">
              <w:t>Fruits and vegetables shall be free from insects and mold.</w:t>
            </w:r>
          </w:p>
          <w:p w:rsidR="00F14F6F" w:rsidRPr="008E7A53" w:rsidRDefault="00F14F6F" w:rsidP="007C0549">
            <w:pPr>
              <w:rPr>
                <w:bCs w:val="0"/>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14F6F" w:rsidRPr="008E7A53" w:rsidRDefault="00F14F6F" w:rsidP="007C0549">
            <w:pPr>
              <w:rPr>
                <w:bCs w:val="0"/>
              </w:rPr>
            </w:pPr>
            <w:r w:rsidRPr="008E7A53">
              <w:t>2.4</w:t>
            </w:r>
          </w:p>
        </w:tc>
        <w:tc>
          <w:tcPr>
            <w:tcW w:w="3960" w:type="dxa"/>
            <w:gridSpan w:val="2"/>
            <w:tcBorders>
              <w:top w:val="single" w:sz="12" w:space="0" w:color="17365D" w:themeColor="text2" w:themeShade="BF"/>
              <w:bottom w:val="single" w:sz="12" w:space="0" w:color="17365D" w:themeColor="text2" w:themeShade="BF"/>
            </w:tcBorders>
          </w:tcPr>
          <w:p w:rsidR="00F14F6F" w:rsidRPr="008E7A53" w:rsidRDefault="00F14F6F" w:rsidP="00F14F6F">
            <w:pPr>
              <w:rPr>
                <w:bCs w:val="0"/>
              </w:rPr>
            </w:pPr>
            <w:r w:rsidRPr="008E7A53">
              <w:t>Pantry Inspection</w:t>
            </w:r>
          </w:p>
        </w:tc>
      </w:tr>
      <w:tr w:rsidR="00F14F6F" w:rsidRPr="000F6983" w:rsidTr="00F14F6F">
        <w:tc>
          <w:tcPr>
            <w:tcW w:w="738" w:type="dxa"/>
            <w:tcBorders>
              <w:top w:val="single" w:sz="12" w:space="0" w:color="17365D" w:themeColor="text2" w:themeShade="BF"/>
              <w:bottom w:val="single" w:sz="12" w:space="0" w:color="17365D" w:themeColor="text2" w:themeShade="BF"/>
            </w:tcBorders>
          </w:tcPr>
          <w:p w:rsidR="00F14F6F" w:rsidRPr="008E7A53" w:rsidRDefault="00F14F6F" w:rsidP="00F14F6F">
            <w:pPr>
              <w:rPr>
                <w:bCs w:val="0"/>
              </w:rPr>
            </w:pPr>
            <w:r w:rsidRPr="008E7A53">
              <w:lastRenderedPageBreak/>
              <w:t>2.5</w:t>
            </w:r>
          </w:p>
        </w:tc>
        <w:tc>
          <w:tcPr>
            <w:tcW w:w="4158" w:type="dxa"/>
            <w:gridSpan w:val="2"/>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F14F6F" w:rsidP="007C0549">
            <w:r w:rsidRPr="008E7A53">
              <w:t>All packaged products shall be labeled properly, and within the expiration period as stated on the product in accordance with FDA Regulations.</w:t>
            </w:r>
          </w:p>
          <w:p w:rsidR="00F14F6F" w:rsidRPr="008E7A53" w:rsidRDefault="00F14F6F" w:rsidP="007C0549">
            <w:pPr>
              <w:rPr>
                <w:bCs w:val="0"/>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14F6F" w:rsidRPr="008E7A53" w:rsidRDefault="00F14F6F" w:rsidP="007C0549">
            <w:pPr>
              <w:rPr>
                <w:bCs w:val="0"/>
              </w:rPr>
            </w:pPr>
            <w:r w:rsidRPr="008E7A53">
              <w:t>2.5</w:t>
            </w:r>
          </w:p>
        </w:tc>
        <w:tc>
          <w:tcPr>
            <w:tcW w:w="3960" w:type="dxa"/>
            <w:gridSpan w:val="2"/>
            <w:tcBorders>
              <w:top w:val="single" w:sz="12" w:space="0" w:color="17365D" w:themeColor="text2" w:themeShade="BF"/>
              <w:bottom w:val="single" w:sz="12" w:space="0" w:color="17365D" w:themeColor="text2" w:themeShade="BF"/>
            </w:tcBorders>
          </w:tcPr>
          <w:p w:rsidR="00F14F6F" w:rsidRPr="008E7A53" w:rsidRDefault="00F14F6F" w:rsidP="00F14F6F">
            <w:pPr>
              <w:rPr>
                <w:bCs w:val="0"/>
              </w:rPr>
            </w:pPr>
            <w:r w:rsidRPr="008E7A53">
              <w:t>Pantry Inspection</w:t>
            </w:r>
          </w:p>
        </w:tc>
      </w:tr>
      <w:tr w:rsidR="00F14F6F" w:rsidRPr="000F6983" w:rsidTr="00F14F6F">
        <w:tc>
          <w:tcPr>
            <w:tcW w:w="738" w:type="dxa"/>
            <w:tcBorders>
              <w:top w:val="single" w:sz="12" w:space="0" w:color="17365D" w:themeColor="text2" w:themeShade="BF"/>
              <w:bottom w:val="single" w:sz="12" w:space="0" w:color="17365D" w:themeColor="text2" w:themeShade="BF"/>
            </w:tcBorders>
          </w:tcPr>
          <w:p w:rsidR="00F14F6F" w:rsidRPr="008E7A53" w:rsidRDefault="00F14F6F" w:rsidP="00F14F6F">
            <w:pPr>
              <w:rPr>
                <w:bCs w:val="0"/>
              </w:rPr>
            </w:pPr>
            <w:r w:rsidRPr="008E7A53">
              <w:t>2.6</w:t>
            </w:r>
          </w:p>
        </w:tc>
        <w:tc>
          <w:tcPr>
            <w:tcW w:w="4158" w:type="dxa"/>
            <w:gridSpan w:val="2"/>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F14F6F" w:rsidP="007C0549">
            <w:r w:rsidRPr="008E7A53">
              <w:t>Frozen foods shall be packaged, kept completely frozen and stored in a proper freezer at 0</w:t>
            </w:r>
            <w:r w:rsidRPr="008E7A53">
              <w:rPr>
                <w:rFonts w:cs="Arial"/>
              </w:rPr>
              <w:t>°</w:t>
            </w:r>
            <w:r w:rsidRPr="008E7A53">
              <w:t xml:space="preserve"> Fahrenheit or below.</w:t>
            </w:r>
          </w:p>
          <w:p w:rsidR="00F14F6F" w:rsidRPr="008E7A53" w:rsidRDefault="00F14F6F" w:rsidP="007C0549">
            <w:pPr>
              <w:rPr>
                <w:bCs w:val="0"/>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14F6F" w:rsidRPr="008E7A53" w:rsidRDefault="00F14F6F" w:rsidP="007C0549">
            <w:pPr>
              <w:rPr>
                <w:bCs w:val="0"/>
              </w:rPr>
            </w:pPr>
            <w:r w:rsidRPr="008E7A53">
              <w:t>2.6</w:t>
            </w:r>
          </w:p>
        </w:tc>
        <w:tc>
          <w:tcPr>
            <w:tcW w:w="3960" w:type="dxa"/>
            <w:gridSpan w:val="2"/>
            <w:tcBorders>
              <w:top w:val="single" w:sz="12" w:space="0" w:color="17365D" w:themeColor="text2" w:themeShade="BF"/>
              <w:bottom w:val="single" w:sz="12" w:space="0" w:color="17365D" w:themeColor="text2" w:themeShade="BF"/>
            </w:tcBorders>
          </w:tcPr>
          <w:p w:rsidR="00F14F6F" w:rsidRPr="008E7A53" w:rsidRDefault="00F14F6F" w:rsidP="00F14F6F">
            <w:r w:rsidRPr="008E7A53">
              <w:t>Pantry Inspection</w:t>
            </w:r>
          </w:p>
          <w:p w:rsidR="00F14F6F" w:rsidRPr="008E7A53" w:rsidRDefault="00F14F6F" w:rsidP="00F14F6F">
            <w:pPr>
              <w:rPr>
                <w:bCs w:val="0"/>
              </w:rPr>
            </w:pPr>
          </w:p>
        </w:tc>
      </w:tr>
    </w:tbl>
    <w:p w:rsidR="00F14F6F" w:rsidRDefault="00F14F6F" w:rsidP="008579C9">
      <w:pPr>
        <w:spacing w:after="0"/>
      </w:pPr>
    </w:p>
    <w:tbl>
      <w:tblPr>
        <w:tblStyle w:val="TableGrid17"/>
        <w:tblW w:w="9576" w:type="dxa"/>
        <w:tblLayout w:type="fixed"/>
        <w:tblLook w:val="04A0" w:firstRow="1" w:lastRow="0" w:firstColumn="1" w:lastColumn="0" w:noHBand="0" w:noVBand="1"/>
      </w:tblPr>
      <w:tblGrid>
        <w:gridCol w:w="9576"/>
      </w:tblGrid>
      <w:tr w:rsidR="000F6983" w:rsidRPr="000F6983" w:rsidTr="00F14F6F">
        <w:tc>
          <w:tcPr>
            <w:tcW w:w="9576" w:type="dxa"/>
            <w:tcBorders>
              <w:top w:val="single" w:sz="12" w:space="0" w:color="17365D" w:themeColor="text2" w:themeShade="BF"/>
              <w:left w:val="nil"/>
              <w:bottom w:val="single" w:sz="12" w:space="0" w:color="17365D" w:themeColor="text2" w:themeShade="BF"/>
              <w:right w:val="nil"/>
            </w:tcBorders>
          </w:tcPr>
          <w:p w:rsidR="000F6983" w:rsidRPr="000F6983" w:rsidRDefault="000F6983" w:rsidP="00F14F6F">
            <w:pPr>
              <w:pStyle w:val="Heading3"/>
              <w:spacing w:before="0"/>
              <w:outlineLvl w:val="2"/>
              <w:rPr>
                <w:rFonts w:eastAsia="Calibri"/>
                <w:bCs/>
              </w:rPr>
            </w:pPr>
            <w:bookmarkStart w:id="86" w:name="_Toc489280920"/>
            <w:r w:rsidRPr="00F14F6F">
              <w:rPr>
                <w:rFonts w:eastAsia="Calibri"/>
                <w:bCs/>
                <w:sz w:val="28"/>
              </w:rPr>
              <w:t>3.0 Responsibility of Case Management Agencies</w:t>
            </w:r>
            <w:bookmarkEnd w:id="86"/>
          </w:p>
        </w:tc>
      </w:tr>
    </w:tbl>
    <w:p w:rsidR="000F6983" w:rsidRPr="000F6983" w:rsidRDefault="000F6983" w:rsidP="000F6983">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5266B8">
            <w:pPr>
              <w:rPr>
                <w:rFonts w:cs="Arial"/>
              </w:rPr>
            </w:pPr>
            <w:r w:rsidRPr="000F6983">
              <w:rPr>
                <w:rFonts w:cs="Arial"/>
              </w:rPr>
              <w:t xml:space="preserve">The purpose of the responsibility of case management agencies is to establish the scope of work for the coordination of </w:t>
            </w:r>
            <w:r>
              <w:rPr>
                <w:rFonts w:cs="Arial"/>
              </w:rPr>
              <w:t>food bank/home delivered meals.</w:t>
            </w:r>
          </w:p>
        </w:tc>
      </w:tr>
    </w:tbl>
    <w:p w:rsidR="007C0549" w:rsidRPr="000F6983" w:rsidRDefault="007C0549" w:rsidP="000F6983">
      <w:pPr>
        <w:spacing w:after="0" w:line="240" w:lineRule="auto"/>
        <w:jc w:val="both"/>
        <w:rPr>
          <w:rFonts w:ascii="Arial" w:hAnsi="Arial" w:cs="Arial"/>
          <w:sz w:val="24"/>
        </w:rPr>
      </w:pPr>
    </w:p>
    <w:tbl>
      <w:tblPr>
        <w:tblStyle w:val="TableGrid17"/>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0F6983" w:rsidRPr="000F6983" w:rsidTr="007C0549">
        <w:tc>
          <w:tcPr>
            <w:tcW w:w="9558" w:type="dxa"/>
            <w:gridSpan w:val="6"/>
            <w:shd w:val="clear" w:color="auto" w:fill="17365D" w:themeFill="text2" w:themeFillShade="BF"/>
          </w:tcPr>
          <w:p w:rsidR="000F6983" w:rsidRPr="000F6983" w:rsidRDefault="000F6983" w:rsidP="00F14F6F">
            <w:pPr>
              <w:pStyle w:val="Heading4"/>
              <w:spacing w:before="0"/>
              <w:outlineLvl w:val="3"/>
              <w:rPr>
                <w:rFonts w:eastAsia="Calibri"/>
              </w:rPr>
            </w:pPr>
            <w:r w:rsidRPr="00F14F6F">
              <w:rPr>
                <w:rFonts w:eastAsia="Calibri"/>
                <w:color w:val="FFFFFF" w:themeColor="background1"/>
                <w:sz w:val="28"/>
              </w:rPr>
              <w:t>3.0 Responsibility of Case Management Agencies</w:t>
            </w:r>
          </w:p>
        </w:tc>
      </w:tr>
      <w:tr w:rsidR="000F6983" w:rsidRPr="000F6983" w:rsidTr="007C0549">
        <w:tc>
          <w:tcPr>
            <w:tcW w:w="720" w:type="dxa"/>
          </w:tcPr>
          <w:p w:rsidR="000F6983" w:rsidRPr="000F6983" w:rsidRDefault="000F6983" w:rsidP="000F6983"/>
        </w:tc>
        <w:tc>
          <w:tcPr>
            <w:tcW w:w="4176" w:type="dxa"/>
            <w:gridSpan w:val="2"/>
          </w:tcPr>
          <w:p w:rsidR="000F6983" w:rsidRPr="000F6983" w:rsidRDefault="000F6983" w:rsidP="000F6983"/>
        </w:tc>
        <w:tc>
          <w:tcPr>
            <w:tcW w:w="720" w:type="dxa"/>
            <w:gridSpan w:val="2"/>
          </w:tcPr>
          <w:p w:rsidR="000F6983" w:rsidRPr="000F6983" w:rsidRDefault="000F6983" w:rsidP="000F6983"/>
        </w:tc>
        <w:tc>
          <w:tcPr>
            <w:tcW w:w="3942" w:type="dxa"/>
          </w:tcPr>
          <w:p w:rsidR="000F6983" w:rsidRPr="000F6983" w:rsidRDefault="000F6983" w:rsidP="000F6983"/>
        </w:tc>
      </w:tr>
      <w:tr w:rsidR="000F6983" w:rsidRPr="000F6983" w:rsidTr="007C0549">
        <w:tc>
          <w:tcPr>
            <w:tcW w:w="4896" w:type="dxa"/>
            <w:gridSpan w:val="3"/>
            <w:tcBorders>
              <w:bottom w:val="single" w:sz="12" w:space="0" w:color="17365D" w:themeColor="text2" w:themeShade="BF"/>
              <w:right w:val="single" w:sz="12" w:space="0" w:color="17365D" w:themeColor="text2" w:themeShade="BF"/>
            </w:tcBorders>
            <w:vAlign w:val="center"/>
          </w:tcPr>
          <w:p w:rsidR="000F6983" w:rsidRPr="008E7A53" w:rsidRDefault="000F6983" w:rsidP="000F6983">
            <w:pPr>
              <w:jc w:val="center"/>
              <w:rPr>
                <w:rStyle w:val="BookTitle"/>
              </w:rPr>
            </w:pPr>
            <w:r w:rsidRPr="008E7A53">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0F6983" w:rsidRPr="008E7A53" w:rsidRDefault="000F6983" w:rsidP="000F6983">
            <w:pPr>
              <w:jc w:val="center"/>
              <w:rPr>
                <w:rStyle w:val="BookTitle"/>
              </w:rPr>
            </w:pPr>
            <w:r w:rsidRPr="008E7A53">
              <w:rPr>
                <w:rStyle w:val="BookTitle"/>
              </w:rPr>
              <w:t>Measures</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F14F6F">
            <w:pPr>
              <w:contextualSpacing/>
            </w:pPr>
            <w:r w:rsidRPr="008E7A53">
              <w:t xml:space="preserve">Consumers   accessing Food Bank/Home Delivered Meals services in Orange County shall be issued a Food Voucher to be used at a contracted Food Pantry. All other eligible consumers shall be issued Supermarket Gift Cards. </w:t>
            </w:r>
          </w:p>
          <w:p w:rsidR="00F14F6F" w:rsidRPr="008E7A53" w:rsidRDefault="00F14F6F" w:rsidP="00F14F6F">
            <w:pPr>
              <w:contextualSpacing/>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3.1</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Documentation in PE demonstrates that Food Vouchers are issued to consumers accessing services in Orange County and that gift cards are issued to consumers accessing services in   Lake, Osceola and Seminole Counties.</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3.2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0F6983">
            <w:pPr>
              <w:rPr>
                <w:rFonts w:cstheme="minorHAnsi"/>
              </w:rPr>
            </w:pPr>
            <w:r w:rsidRPr="008E7A53">
              <w:t xml:space="preserve">Agencies shall ensure that </w:t>
            </w:r>
            <w:r w:rsidRPr="008E7A53">
              <w:rPr>
                <w:rFonts w:cstheme="minorHAnsi"/>
              </w:rPr>
              <w:t>consumers have exhausted access through other funding sources prior to issuing a food voucher or gift card.</w:t>
            </w:r>
          </w:p>
          <w:p w:rsidR="00F14F6F" w:rsidRPr="008E7A53" w:rsidRDefault="00F14F6F" w:rsidP="000F698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2.2</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pPr>
              <w:contextualSpacing/>
            </w:pPr>
            <w:r w:rsidRPr="008E7A53">
              <w:t>Documentation in PE demonstrates Ryan White is the “Payer of Last Resort”.</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3.3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0F6983">
            <w:r w:rsidRPr="008E7A53">
              <w:t xml:space="preserve"> Agencies distributing supermarket gift cards shall have policies and procedures in place to safely store and track the distribution of gift cards.</w:t>
            </w:r>
          </w:p>
          <w:p w:rsidR="00F14F6F" w:rsidRPr="008E7A53" w:rsidRDefault="00F14F6F" w:rsidP="000F698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3.3</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 xml:space="preserve"> Gift Card distribution policy and procedure reflects safety procedures and tracking mechanisms.</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3.4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0F6983">
            <w:r w:rsidRPr="008E7A53">
              <w:t xml:space="preserve"> Agencies distributing gift cards shall ensure that consumer receipts are submitted prior to the distribution of additional gift cards.</w:t>
            </w:r>
          </w:p>
          <w:p w:rsidR="00F14F6F" w:rsidRPr="008E7A53" w:rsidRDefault="00F14F6F" w:rsidP="000F698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3.4</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 xml:space="preserve"> Receipts uploaded into consumer Provide Enterprise (PE) file.</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lastRenderedPageBreak/>
              <w:t>3.5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0F6983" w:rsidP="008E7A53">
            <w:r w:rsidRPr="008E7A53">
              <w:t xml:space="preserve"> Agencies distributing gift cards shall ensure that consumer receipts include only allowable items.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3.5</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 xml:space="preserve"> Receipts in PE reflect only allowable items.</w:t>
            </w:r>
          </w:p>
        </w:tc>
      </w:tr>
      <w:tr w:rsidR="000F6983" w:rsidRPr="000F6983" w:rsidTr="007C0549">
        <w:tc>
          <w:tcPr>
            <w:tcW w:w="738"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3.6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F6983" w:rsidRPr="008E7A53" w:rsidRDefault="000F6983" w:rsidP="000F6983">
            <w:r w:rsidRPr="008E7A53">
              <w:t xml:space="preserve"> Agencies distributing gift cards and/or Food Vouchers shall ensure that no more than $50/consumer is distributed per month unless pre-approved by the Recipient’s Office.</w:t>
            </w:r>
          </w:p>
          <w:p w:rsidR="00F14F6F" w:rsidRPr="008E7A53" w:rsidRDefault="00F14F6F" w:rsidP="000F6983"/>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F6983" w:rsidRPr="008E7A53" w:rsidRDefault="000F6983" w:rsidP="000F6983">
            <w:r w:rsidRPr="008E7A53">
              <w:t>3.6</w:t>
            </w:r>
          </w:p>
        </w:tc>
        <w:tc>
          <w:tcPr>
            <w:tcW w:w="3960" w:type="dxa"/>
            <w:gridSpan w:val="2"/>
            <w:tcBorders>
              <w:top w:val="single" w:sz="12" w:space="0" w:color="17365D" w:themeColor="text2" w:themeShade="BF"/>
              <w:bottom w:val="single" w:sz="12" w:space="0" w:color="17365D" w:themeColor="text2" w:themeShade="BF"/>
            </w:tcBorders>
          </w:tcPr>
          <w:p w:rsidR="000F6983" w:rsidRPr="008E7A53" w:rsidRDefault="000F6983" w:rsidP="000F6983">
            <w:r w:rsidRPr="008E7A53">
              <w:t xml:space="preserve">Gift card and/or Food Voucher tracking mechanism </w:t>
            </w:r>
            <w:r w:rsidR="00F14F6F" w:rsidRPr="008E7A53">
              <w:t>indicate</w:t>
            </w:r>
            <w:r w:rsidRPr="008E7A53">
              <w:t xml:space="preserve"> that no more then $50/consumer is distributed monthly without prior approval.</w:t>
            </w:r>
          </w:p>
        </w:tc>
      </w:tr>
      <w:tr w:rsidR="00F14F6F" w:rsidRPr="000F6983" w:rsidTr="007C0549">
        <w:tc>
          <w:tcPr>
            <w:tcW w:w="738" w:type="dxa"/>
            <w:gridSpan w:val="2"/>
            <w:tcBorders>
              <w:top w:val="single" w:sz="12" w:space="0" w:color="17365D" w:themeColor="text2" w:themeShade="BF"/>
              <w:bottom w:val="single" w:sz="12" w:space="0" w:color="17365D" w:themeColor="text2" w:themeShade="BF"/>
            </w:tcBorders>
          </w:tcPr>
          <w:p w:rsidR="00F14F6F" w:rsidRPr="008E7A53" w:rsidRDefault="00F14F6F" w:rsidP="000F6983">
            <w:r w:rsidRPr="008E7A53">
              <w:t>3.7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F14F6F" w:rsidP="000F6983">
            <w:r w:rsidRPr="008E7A53">
              <w:t>Gift cards shall be from supermarkets that facilitates the use of gift cards for allowable items only.</w:t>
            </w:r>
          </w:p>
          <w:p w:rsidR="00F14F6F" w:rsidRPr="008E7A53" w:rsidRDefault="00F14F6F" w:rsidP="000F6983">
            <w:pPr>
              <w:rPr>
                <w:bCs w:val="0"/>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14F6F" w:rsidRPr="008E7A53" w:rsidRDefault="00F14F6F" w:rsidP="000F6983">
            <w:r w:rsidRPr="008E7A53">
              <w:t>3.7</w:t>
            </w:r>
          </w:p>
        </w:tc>
        <w:tc>
          <w:tcPr>
            <w:tcW w:w="3960" w:type="dxa"/>
            <w:gridSpan w:val="2"/>
            <w:tcBorders>
              <w:top w:val="single" w:sz="12" w:space="0" w:color="17365D" w:themeColor="text2" w:themeShade="BF"/>
              <w:bottom w:val="single" w:sz="12" w:space="0" w:color="17365D" w:themeColor="text2" w:themeShade="BF"/>
            </w:tcBorders>
          </w:tcPr>
          <w:p w:rsidR="00F14F6F" w:rsidRPr="008E7A53" w:rsidRDefault="00F14F6F" w:rsidP="000F6983">
            <w:pPr>
              <w:rPr>
                <w:bCs w:val="0"/>
              </w:rPr>
            </w:pPr>
            <w:r w:rsidRPr="008E7A53">
              <w:t>Gift Cards specifies the unallowable items.</w:t>
            </w:r>
          </w:p>
        </w:tc>
      </w:tr>
    </w:tbl>
    <w:p w:rsidR="000F6983" w:rsidRDefault="000F6983" w:rsidP="000F6983">
      <w:pPr>
        <w:spacing w:after="0" w:line="240" w:lineRule="auto"/>
        <w:jc w:val="both"/>
        <w:rPr>
          <w:rFonts w:ascii="Arial" w:hAnsi="Arial" w:cs="Arial"/>
          <w:sz w:val="24"/>
        </w:rPr>
      </w:pPr>
    </w:p>
    <w:tbl>
      <w:tblPr>
        <w:tblStyle w:val="TableGrid17"/>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9576"/>
      </w:tblGrid>
      <w:tr w:rsidR="000F6983" w:rsidRPr="000F6983" w:rsidTr="007C0549">
        <w:tc>
          <w:tcPr>
            <w:tcW w:w="9576" w:type="dxa"/>
            <w:tcBorders>
              <w:top w:val="single" w:sz="12" w:space="0" w:color="17365D" w:themeColor="text2" w:themeShade="BF"/>
              <w:bottom w:val="single" w:sz="12" w:space="0" w:color="17365D" w:themeColor="text2" w:themeShade="BF"/>
            </w:tcBorders>
          </w:tcPr>
          <w:p w:rsidR="000F6983" w:rsidRPr="000F6983" w:rsidRDefault="000F6983" w:rsidP="00F14F6F">
            <w:pPr>
              <w:pStyle w:val="Heading3"/>
              <w:spacing w:before="0"/>
              <w:outlineLvl w:val="2"/>
              <w:rPr>
                <w:rFonts w:eastAsia="Calibri"/>
                <w:bCs/>
              </w:rPr>
            </w:pPr>
            <w:bookmarkStart w:id="87" w:name="_Toc489280921"/>
            <w:r w:rsidRPr="00F14F6F">
              <w:rPr>
                <w:rFonts w:eastAsia="Calibri"/>
                <w:bCs/>
                <w:sz w:val="28"/>
              </w:rPr>
              <w:t xml:space="preserve">4.0 Continuous </w:t>
            </w:r>
            <w:r w:rsidR="00F14F6F" w:rsidRPr="00F14F6F">
              <w:rPr>
                <w:rFonts w:eastAsia="Calibri"/>
                <w:bCs/>
                <w:sz w:val="28"/>
              </w:rPr>
              <w:t>Quality Improvement</w:t>
            </w:r>
            <w:bookmarkEnd w:id="87"/>
          </w:p>
        </w:tc>
      </w:tr>
    </w:tbl>
    <w:p w:rsidR="000F6983" w:rsidRPr="000F6983" w:rsidRDefault="000F6983" w:rsidP="000F6983">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5266B8">
            <w:pPr>
              <w:rPr>
                <w:rFonts w:cs="Arial"/>
              </w:rPr>
            </w:pPr>
            <w:r w:rsidRPr="000F6983">
              <w:rPr>
                <w:rFonts w:cs="Arial"/>
              </w:rPr>
              <w:t>The objective of the Continuous Quality Improvement standards shall be to ensure that all agencies comply with the legislative requirement of maintaini</w:t>
            </w:r>
            <w:r>
              <w:rPr>
                <w:rFonts w:cs="Arial"/>
              </w:rPr>
              <w:t>ng quality management programs.</w:t>
            </w:r>
          </w:p>
        </w:tc>
      </w:tr>
    </w:tbl>
    <w:p w:rsidR="00F14F6F" w:rsidRDefault="00F14F6F" w:rsidP="000F6983">
      <w:pPr>
        <w:spacing w:after="0" w:line="240" w:lineRule="auto"/>
        <w:jc w:val="both"/>
        <w:rPr>
          <w:rFonts w:ascii="Arial" w:hAnsi="Arial" w:cs="Arial"/>
          <w:sz w:val="24"/>
        </w:rPr>
      </w:pPr>
    </w:p>
    <w:tbl>
      <w:tblPr>
        <w:tblStyle w:val="TableGrid17"/>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F14F6F" w:rsidRPr="000F6983" w:rsidTr="007C0549">
        <w:tc>
          <w:tcPr>
            <w:tcW w:w="9558" w:type="dxa"/>
            <w:gridSpan w:val="6"/>
            <w:shd w:val="clear" w:color="auto" w:fill="17365D" w:themeFill="text2" w:themeFillShade="BF"/>
          </w:tcPr>
          <w:p w:rsidR="00F14F6F" w:rsidRPr="000F6983" w:rsidRDefault="00F14F6F" w:rsidP="007C0549">
            <w:pPr>
              <w:pStyle w:val="Heading4"/>
              <w:spacing w:before="0"/>
              <w:outlineLvl w:val="3"/>
              <w:rPr>
                <w:rFonts w:eastAsia="Calibri"/>
              </w:rPr>
            </w:pPr>
            <w:r w:rsidRPr="008E7A53">
              <w:rPr>
                <w:rFonts w:eastAsia="Calibri"/>
                <w:color w:val="FFFFFF" w:themeColor="background1"/>
                <w:sz w:val="28"/>
              </w:rPr>
              <w:t>4.0 Continuous Quality Improvement</w:t>
            </w:r>
          </w:p>
        </w:tc>
      </w:tr>
      <w:tr w:rsidR="00F14F6F" w:rsidRPr="000F6983" w:rsidTr="007C0549">
        <w:tc>
          <w:tcPr>
            <w:tcW w:w="720" w:type="dxa"/>
          </w:tcPr>
          <w:p w:rsidR="00F14F6F" w:rsidRPr="000F6983" w:rsidRDefault="00F14F6F" w:rsidP="007C0549"/>
        </w:tc>
        <w:tc>
          <w:tcPr>
            <w:tcW w:w="4176" w:type="dxa"/>
            <w:gridSpan w:val="2"/>
          </w:tcPr>
          <w:p w:rsidR="00F14F6F" w:rsidRPr="000F6983" w:rsidRDefault="00F14F6F" w:rsidP="007C0549"/>
        </w:tc>
        <w:tc>
          <w:tcPr>
            <w:tcW w:w="720" w:type="dxa"/>
            <w:gridSpan w:val="2"/>
          </w:tcPr>
          <w:p w:rsidR="00F14F6F" w:rsidRPr="000F6983" w:rsidRDefault="00F14F6F" w:rsidP="007C0549"/>
        </w:tc>
        <w:tc>
          <w:tcPr>
            <w:tcW w:w="3942" w:type="dxa"/>
          </w:tcPr>
          <w:p w:rsidR="00F14F6F" w:rsidRPr="000F6983" w:rsidRDefault="00F14F6F" w:rsidP="007C0549"/>
        </w:tc>
      </w:tr>
      <w:tr w:rsidR="00F14F6F" w:rsidRPr="000F6983" w:rsidTr="007C0549">
        <w:tc>
          <w:tcPr>
            <w:tcW w:w="4896" w:type="dxa"/>
            <w:gridSpan w:val="3"/>
            <w:tcBorders>
              <w:bottom w:val="single" w:sz="12" w:space="0" w:color="17365D" w:themeColor="text2" w:themeShade="BF"/>
              <w:right w:val="single" w:sz="12" w:space="0" w:color="17365D" w:themeColor="text2" w:themeShade="BF"/>
            </w:tcBorders>
            <w:vAlign w:val="center"/>
          </w:tcPr>
          <w:p w:rsidR="00F14F6F" w:rsidRPr="008E7A53" w:rsidRDefault="00F14F6F" w:rsidP="007C0549">
            <w:pPr>
              <w:jc w:val="center"/>
              <w:rPr>
                <w:rStyle w:val="BookTitle"/>
              </w:rPr>
            </w:pPr>
            <w:r w:rsidRPr="008E7A53">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F14F6F" w:rsidRPr="008E7A53" w:rsidRDefault="00F14F6F" w:rsidP="007C0549">
            <w:pPr>
              <w:jc w:val="center"/>
              <w:rPr>
                <w:rStyle w:val="BookTitle"/>
              </w:rPr>
            </w:pPr>
            <w:r w:rsidRPr="008E7A53">
              <w:rPr>
                <w:rStyle w:val="BookTitle"/>
              </w:rPr>
              <w:t>Measures</w:t>
            </w:r>
          </w:p>
        </w:tc>
      </w:tr>
      <w:tr w:rsidR="00F14F6F" w:rsidRPr="000F6983" w:rsidTr="007C0549">
        <w:tc>
          <w:tcPr>
            <w:tcW w:w="738" w:type="dxa"/>
            <w:gridSpan w:val="2"/>
            <w:tcBorders>
              <w:top w:val="single" w:sz="12" w:space="0" w:color="17365D" w:themeColor="text2" w:themeShade="BF"/>
              <w:bottom w:val="single" w:sz="12" w:space="0" w:color="17365D" w:themeColor="text2" w:themeShade="BF"/>
            </w:tcBorders>
          </w:tcPr>
          <w:p w:rsidR="00F14F6F" w:rsidRPr="008E7A53" w:rsidRDefault="007C0549" w:rsidP="007C0549">
            <w:r w:rsidRPr="008E7A53">
              <w:t>4.1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7C0549" w:rsidP="007C0549">
            <w:pPr>
              <w:contextualSpacing/>
            </w:pPr>
            <w:r w:rsidRPr="008E7A53">
              <w:t>Agencies shall ensure that access to the food storage area, in food pantries, is limited, and that it is locked when no food handling or distribution is taking place.</w:t>
            </w:r>
          </w:p>
          <w:p w:rsidR="007C0549" w:rsidRPr="008E7A53" w:rsidRDefault="007C0549" w:rsidP="007C0549">
            <w:pPr>
              <w:contextualSpacing/>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14F6F" w:rsidRPr="008E7A53" w:rsidRDefault="007C0549" w:rsidP="007C0549">
            <w:r w:rsidRPr="008E7A53">
              <w:t>4.1</w:t>
            </w:r>
          </w:p>
        </w:tc>
        <w:tc>
          <w:tcPr>
            <w:tcW w:w="3960" w:type="dxa"/>
            <w:gridSpan w:val="2"/>
            <w:tcBorders>
              <w:top w:val="single" w:sz="12" w:space="0" w:color="17365D" w:themeColor="text2" w:themeShade="BF"/>
              <w:bottom w:val="single" w:sz="12" w:space="0" w:color="17365D" w:themeColor="text2" w:themeShade="BF"/>
            </w:tcBorders>
          </w:tcPr>
          <w:p w:rsidR="00F14F6F" w:rsidRPr="008E7A53" w:rsidRDefault="007C0549" w:rsidP="007C0549">
            <w:r w:rsidRPr="008E7A53">
              <w:t>Observation upon site visit.</w:t>
            </w:r>
          </w:p>
        </w:tc>
      </w:tr>
      <w:tr w:rsidR="00F14F6F" w:rsidRPr="000F6983" w:rsidTr="007C0549">
        <w:tc>
          <w:tcPr>
            <w:tcW w:w="738" w:type="dxa"/>
            <w:gridSpan w:val="2"/>
            <w:tcBorders>
              <w:top w:val="single" w:sz="12" w:space="0" w:color="17365D" w:themeColor="text2" w:themeShade="BF"/>
              <w:bottom w:val="single" w:sz="12" w:space="0" w:color="17365D" w:themeColor="text2" w:themeShade="BF"/>
            </w:tcBorders>
          </w:tcPr>
          <w:p w:rsidR="00F14F6F" w:rsidRPr="008E7A53" w:rsidRDefault="007C0549" w:rsidP="007C0549">
            <w:r w:rsidRPr="008E7A53">
              <w:t>4.2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7C0549" w:rsidP="007C0549">
            <w:r w:rsidRPr="008E7A53">
              <w:t>Agencies shall receive consultation from a registered and/or licensed dietitian regarding the nutrition, caloric needs, and other dietary issues of HIV+ persons, and has incorporated that guidance into its food pantry program; and consultation should be done on an annual basis and must be documented.</w:t>
            </w:r>
          </w:p>
          <w:p w:rsidR="007C0549" w:rsidRPr="008E7A53" w:rsidRDefault="007C0549"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14F6F" w:rsidRPr="008E7A53" w:rsidRDefault="007C0549" w:rsidP="007C0549">
            <w:r w:rsidRPr="008E7A53">
              <w:t>4.2</w:t>
            </w:r>
          </w:p>
        </w:tc>
        <w:tc>
          <w:tcPr>
            <w:tcW w:w="3960" w:type="dxa"/>
            <w:gridSpan w:val="2"/>
            <w:tcBorders>
              <w:top w:val="single" w:sz="12" w:space="0" w:color="17365D" w:themeColor="text2" w:themeShade="BF"/>
              <w:bottom w:val="single" w:sz="12" w:space="0" w:color="17365D" w:themeColor="text2" w:themeShade="BF"/>
            </w:tcBorders>
          </w:tcPr>
          <w:p w:rsidR="00F14F6F" w:rsidRPr="008E7A53" w:rsidRDefault="007C0549" w:rsidP="007C0549">
            <w:pPr>
              <w:contextualSpacing/>
            </w:pPr>
            <w:r w:rsidRPr="008E7A53">
              <w:t>Documentation of consultation in agency files.</w:t>
            </w:r>
          </w:p>
        </w:tc>
      </w:tr>
      <w:tr w:rsidR="00F14F6F" w:rsidRPr="000F6983" w:rsidTr="007C0549">
        <w:tc>
          <w:tcPr>
            <w:tcW w:w="738" w:type="dxa"/>
            <w:gridSpan w:val="2"/>
            <w:tcBorders>
              <w:top w:val="single" w:sz="12" w:space="0" w:color="17365D" w:themeColor="text2" w:themeShade="BF"/>
              <w:bottom w:val="single" w:sz="12" w:space="0" w:color="17365D" w:themeColor="text2" w:themeShade="BF"/>
            </w:tcBorders>
          </w:tcPr>
          <w:p w:rsidR="00F14F6F" w:rsidRPr="008E7A53" w:rsidRDefault="007C0549" w:rsidP="007C0549">
            <w:r w:rsidRPr="008E7A53">
              <w:rPr>
                <w:rFonts w:cstheme="minorHAnsi"/>
              </w:rPr>
              <w:t>4.3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14F6F" w:rsidRPr="008E7A53" w:rsidRDefault="007C0549" w:rsidP="007C0549">
            <w:pPr>
              <w:rPr>
                <w:rFonts w:cstheme="minorHAnsi"/>
              </w:rPr>
            </w:pPr>
            <w:r w:rsidRPr="008E7A53">
              <w:rPr>
                <w:rFonts w:cstheme="minorHAnsi"/>
              </w:rPr>
              <w:t xml:space="preserve">Agencies shall ensure that perishable foods are disposed of in accordance with Florida Department of Health guidelines. Nonperishable </w:t>
            </w:r>
            <w:r w:rsidRPr="008E7A53">
              <w:rPr>
                <w:rFonts w:cstheme="minorHAnsi"/>
              </w:rPr>
              <w:lastRenderedPageBreak/>
              <w:t>foods should be disposed of if there is evidence of spoilage, damage, or package tampering.</w:t>
            </w:r>
          </w:p>
          <w:p w:rsidR="007C0549" w:rsidRPr="008E7A53" w:rsidRDefault="007C0549"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14F6F" w:rsidRPr="008E7A53" w:rsidRDefault="007C0549" w:rsidP="007C0549">
            <w:r w:rsidRPr="008E7A53">
              <w:rPr>
                <w:rFonts w:cstheme="minorHAnsi"/>
              </w:rPr>
              <w:lastRenderedPageBreak/>
              <w:t>4.3</w:t>
            </w:r>
          </w:p>
        </w:tc>
        <w:tc>
          <w:tcPr>
            <w:tcW w:w="3960" w:type="dxa"/>
            <w:gridSpan w:val="2"/>
            <w:tcBorders>
              <w:top w:val="single" w:sz="12" w:space="0" w:color="17365D" w:themeColor="text2" w:themeShade="BF"/>
              <w:bottom w:val="single" w:sz="12" w:space="0" w:color="17365D" w:themeColor="text2" w:themeShade="BF"/>
            </w:tcBorders>
          </w:tcPr>
          <w:p w:rsidR="00F14F6F" w:rsidRPr="008E7A53" w:rsidRDefault="007C0549" w:rsidP="007C0549">
            <w:r w:rsidRPr="008E7A53">
              <w:rPr>
                <w:rFonts w:cstheme="minorHAnsi"/>
              </w:rPr>
              <w:t>Observation upon site visit and written policy and procedure in place for the disposal of perishable and non-perishable food items.</w:t>
            </w:r>
          </w:p>
        </w:tc>
      </w:tr>
    </w:tbl>
    <w:p w:rsidR="00BA06FB" w:rsidRDefault="00BA06FB" w:rsidP="002C5805">
      <w:pPr>
        <w:spacing w:after="0" w:line="240" w:lineRule="auto"/>
        <w:jc w:val="both"/>
        <w:rPr>
          <w:rFonts w:ascii="Arial" w:hAnsi="Arial" w:cs="Arial"/>
          <w:sz w:val="24"/>
        </w:rPr>
      </w:pPr>
    </w:p>
    <w:p w:rsidR="000B4F24" w:rsidRDefault="000B4F24" w:rsidP="002C5805">
      <w:pPr>
        <w:spacing w:after="0" w:line="240" w:lineRule="auto"/>
        <w:jc w:val="both"/>
        <w:rPr>
          <w:rFonts w:ascii="Arial" w:hAnsi="Arial" w:cs="Arial"/>
          <w:sz w:val="24"/>
        </w:rPr>
        <w:sectPr w:rsidR="000B4F24" w:rsidSect="00B30500">
          <w:footerReference w:type="default" r:id="rId60"/>
          <w:footerReference w:type="first" r:id="rId61"/>
          <w:pgSz w:w="12240" w:h="15840" w:code="1"/>
          <w:pgMar w:top="1296" w:right="1440" w:bottom="1296" w:left="1440" w:header="720" w:footer="432" w:gutter="0"/>
          <w:cols w:space="720"/>
          <w:titlePg/>
          <w:docGrid w:linePitch="360"/>
        </w:sectPr>
      </w:pPr>
      <w:bookmarkStart w:id="88" w:name="_Housing_Services"/>
      <w:bookmarkEnd w:id="88"/>
    </w:p>
    <w:tbl>
      <w:tblPr>
        <w:tblStyle w:val="TableGrid"/>
        <w:tblW w:w="0" w:type="auto"/>
        <w:shd w:val="clear" w:color="auto" w:fill="17365D" w:themeFill="text2" w:themeFillShade="BF"/>
        <w:tblLook w:val="04A0" w:firstRow="1" w:lastRow="0" w:firstColumn="1" w:lastColumn="0" w:noHBand="0" w:noVBand="1"/>
      </w:tblPr>
      <w:tblGrid>
        <w:gridCol w:w="9576"/>
      </w:tblGrid>
      <w:tr w:rsidR="006A2E33" w:rsidTr="006A2E33">
        <w:tc>
          <w:tcPr>
            <w:tcW w:w="9576" w:type="dxa"/>
            <w:shd w:val="clear" w:color="auto" w:fill="17365D" w:themeFill="text2" w:themeFillShade="BF"/>
          </w:tcPr>
          <w:p w:rsidR="006A2E33" w:rsidRPr="006A2E33" w:rsidRDefault="006A2E33" w:rsidP="007C0549">
            <w:pPr>
              <w:pStyle w:val="Heading2"/>
              <w:spacing w:before="0"/>
              <w:jc w:val="center"/>
              <w:outlineLvl w:val="1"/>
              <w:rPr>
                <w:rFonts w:ascii="Arial" w:hAnsi="Arial"/>
              </w:rPr>
            </w:pPr>
            <w:bookmarkStart w:id="89" w:name="_Medical_Transportation_Services"/>
            <w:bookmarkStart w:id="90" w:name="_Toc489280922"/>
            <w:bookmarkEnd w:id="89"/>
            <w:r w:rsidRPr="007C0549">
              <w:rPr>
                <w:color w:val="FFFFFF" w:themeColor="background1"/>
                <w:sz w:val="32"/>
              </w:rPr>
              <w:lastRenderedPageBreak/>
              <w:t>Medical Transportation Services</w:t>
            </w:r>
            <w:bookmarkEnd w:id="90"/>
          </w:p>
        </w:tc>
      </w:tr>
    </w:tbl>
    <w:p w:rsidR="006A2E33" w:rsidRDefault="006A2E33" w:rsidP="002C5805">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7C0549">
              <w:rPr>
                <w:rFonts w:cs="Arial"/>
                <w:b/>
              </w:rPr>
              <w:t>Definition</w:t>
            </w:r>
            <w:r w:rsidRPr="007C0549">
              <w:rPr>
                <w:rFonts w:cs="Arial"/>
              </w:rPr>
              <w:t xml:space="preserve">: </w:t>
            </w:r>
          </w:p>
          <w:p w:rsidR="00C47DFE" w:rsidRPr="007C0549" w:rsidRDefault="00C47DFE" w:rsidP="00C47DFE">
            <w:pPr>
              <w:rPr>
                <w:rFonts w:cs="Arial"/>
              </w:rPr>
            </w:pPr>
            <w:r w:rsidRPr="007C0549">
              <w:rPr>
                <w:rFonts w:cs="Arial"/>
              </w:rPr>
              <w:t>Medical transportation is the provision of nonemergency transportation services that enables an eligible consumer to access or be retained in core medical and support services.</w:t>
            </w:r>
          </w:p>
          <w:p w:rsidR="00C47DFE" w:rsidRPr="007C0549" w:rsidRDefault="00C47DFE" w:rsidP="00C47DFE">
            <w:pPr>
              <w:rPr>
                <w:rFonts w:cs="Arial"/>
              </w:rPr>
            </w:pPr>
          </w:p>
          <w:p w:rsidR="00C47DFE" w:rsidRPr="007C0549" w:rsidRDefault="00C47DFE" w:rsidP="00C47DFE">
            <w:pPr>
              <w:rPr>
                <w:rFonts w:cs="Arial"/>
              </w:rPr>
            </w:pPr>
            <w:r w:rsidRPr="007C0549">
              <w:rPr>
                <w:rFonts w:cs="Arial"/>
              </w:rPr>
              <w:t>Medical transportation may be provided through:</w:t>
            </w:r>
          </w:p>
          <w:p w:rsidR="00C47DFE" w:rsidRPr="007C0549" w:rsidRDefault="00C47DFE" w:rsidP="001B1B43">
            <w:pPr>
              <w:pStyle w:val="ListParagraph"/>
              <w:numPr>
                <w:ilvl w:val="0"/>
                <w:numId w:val="85"/>
              </w:numPr>
              <w:rPr>
                <w:rFonts w:cs="Arial"/>
              </w:rPr>
            </w:pPr>
            <w:r w:rsidRPr="007C0549">
              <w:rPr>
                <w:rFonts w:cs="Arial"/>
              </w:rPr>
              <w:t>Contract with providers of transportation services</w:t>
            </w:r>
          </w:p>
          <w:p w:rsidR="00C47DFE" w:rsidRPr="007C0549" w:rsidRDefault="00C47DFE" w:rsidP="001B1B43">
            <w:pPr>
              <w:pStyle w:val="ListParagraph"/>
              <w:numPr>
                <w:ilvl w:val="0"/>
                <w:numId w:val="85"/>
              </w:numPr>
              <w:rPr>
                <w:rFonts w:cs="Arial"/>
              </w:rPr>
            </w:pPr>
            <w:r w:rsidRPr="007C0549">
              <w:rPr>
                <w:rFonts w:cs="Arial"/>
              </w:rPr>
              <w:t>Mileage reimbursement (through a non-cash system) that enables consumers to travel to needed medical and support services, but should not in any case exceed the established rates for federal programs</w:t>
            </w:r>
          </w:p>
          <w:p w:rsidR="00C47DFE" w:rsidRPr="007C0549" w:rsidRDefault="00C47DFE" w:rsidP="001B1B43">
            <w:pPr>
              <w:pStyle w:val="ListParagraph"/>
              <w:numPr>
                <w:ilvl w:val="0"/>
                <w:numId w:val="85"/>
              </w:numPr>
              <w:rPr>
                <w:rFonts w:cs="Arial"/>
              </w:rPr>
            </w:pPr>
            <w:r w:rsidRPr="007C0549">
              <w:rPr>
                <w:rFonts w:cs="Arial"/>
              </w:rPr>
              <w:t>Purchase or lease of organizational vehicles for consumer transportation programs, provided the recipient receives prior approval for the purchase of a vehicle</w:t>
            </w:r>
          </w:p>
          <w:p w:rsidR="00C47DFE" w:rsidRPr="007C0549" w:rsidRDefault="00C47DFE" w:rsidP="001B1B43">
            <w:pPr>
              <w:pStyle w:val="ListParagraph"/>
              <w:numPr>
                <w:ilvl w:val="0"/>
                <w:numId w:val="85"/>
              </w:numPr>
              <w:rPr>
                <w:rFonts w:cs="Arial"/>
              </w:rPr>
            </w:pPr>
            <w:r w:rsidRPr="007C0549">
              <w:rPr>
                <w:rFonts w:cs="Arial"/>
              </w:rPr>
              <w:t>Organization and use of volunteer drivers (through programs with insurance and other liability issues specifically addressed)</w:t>
            </w:r>
          </w:p>
          <w:p w:rsidR="00C47DFE" w:rsidRPr="007C0549" w:rsidRDefault="00C47DFE" w:rsidP="001B1B43">
            <w:pPr>
              <w:pStyle w:val="ListParagraph"/>
              <w:numPr>
                <w:ilvl w:val="0"/>
                <w:numId w:val="85"/>
              </w:numPr>
              <w:rPr>
                <w:rFonts w:cs="Arial"/>
              </w:rPr>
            </w:pPr>
            <w:r w:rsidRPr="007C0549">
              <w:rPr>
                <w:rFonts w:cs="Arial"/>
              </w:rPr>
              <w:t>Voucher or token systems</w:t>
            </w:r>
          </w:p>
          <w:p w:rsidR="00C47DFE" w:rsidRPr="007C0549" w:rsidRDefault="00C47DFE" w:rsidP="00C47DFE">
            <w:pPr>
              <w:rPr>
                <w:rFonts w:cs="Arial"/>
              </w:rPr>
            </w:pPr>
          </w:p>
          <w:p w:rsidR="00C47DFE" w:rsidRPr="007C0549" w:rsidRDefault="00C47DFE" w:rsidP="00C47DFE">
            <w:pPr>
              <w:rPr>
                <w:rFonts w:cs="Arial"/>
              </w:rPr>
            </w:pPr>
            <w:r w:rsidRPr="007C0549">
              <w:rPr>
                <w:rFonts w:cs="Arial"/>
              </w:rPr>
              <w:t>Costs for transportation for medical providers to provide care should be categorized under the service category for the service being provided.</w:t>
            </w:r>
          </w:p>
          <w:p w:rsidR="00C47DFE" w:rsidRPr="007C0549" w:rsidRDefault="00C47DFE" w:rsidP="00C47DFE">
            <w:pPr>
              <w:rPr>
                <w:rFonts w:cs="Arial"/>
              </w:rPr>
            </w:pPr>
          </w:p>
          <w:p w:rsidR="00C47DFE" w:rsidRPr="007C0549" w:rsidRDefault="00C47DFE" w:rsidP="00C47DFE">
            <w:pPr>
              <w:rPr>
                <w:rFonts w:cs="Arial"/>
                <w:b/>
              </w:rPr>
            </w:pPr>
            <w:r w:rsidRPr="007C0549">
              <w:rPr>
                <w:rFonts w:cs="Arial"/>
                <w:b/>
              </w:rPr>
              <w:t>Unallowable costs include:</w:t>
            </w:r>
          </w:p>
          <w:p w:rsidR="00C47DFE" w:rsidRPr="008E7A53" w:rsidRDefault="00C47DFE" w:rsidP="001B1B43">
            <w:pPr>
              <w:pStyle w:val="ListParagraph"/>
              <w:numPr>
                <w:ilvl w:val="0"/>
                <w:numId w:val="86"/>
              </w:numPr>
              <w:rPr>
                <w:rFonts w:cs="Arial"/>
              </w:rPr>
            </w:pPr>
            <w:r w:rsidRPr="008E7A53">
              <w:rPr>
                <w:rFonts w:cs="Arial"/>
              </w:rPr>
              <w:t>Direct cash payments or cash reimbursements to consumers</w:t>
            </w:r>
          </w:p>
          <w:p w:rsidR="00C47DFE" w:rsidRPr="008E7A53" w:rsidRDefault="00C47DFE" w:rsidP="001B1B43">
            <w:pPr>
              <w:pStyle w:val="ListParagraph"/>
              <w:numPr>
                <w:ilvl w:val="0"/>
                <w:numId w:val="86"/>
              </w:numPr>
              <w:rPr>
                <w:rFonts w:cs="Arial"/>
              </w:rPr>
            </w:pPr>
            <w:r w:rsidRPr="008E7A53">
              <w:rPr>
                <w:rFonts w:cs="Arial"/>
              </w:rPr>
              <w:t>Direct maintenance expenses (tires, repairs, etc.) of a privately-owned vehicle</w:t>
            </w:r>
          </w:p>
          <w:p w:rsidR="00C47DFE" w:rsidRPr="008E7A53" w:rsidRDefault="00C47DFE" w:rsidP="001B1B43">
            <w:pPr>
              <w:pStyle w:val="ListParagraph"/>
              <w:numPr>
                <w:ilvl w:val="0"/>
                <w:numId w:val="86"/>
              </w:numPr>
              <w:rPr>
                <w:rFonts w:cs="Arial"/>
              </w:rPr>
            </w:pPr>
            <w:r w:rsidRPr="008E7A53">
              <w:rPr>
                <w:rFonts w:cs="Arial"/>
              </w:rPr>
              <w:t>Any other costs associated with a privately-owned vehicle such as lease, loan payments, and insurance, license, or registration fees.</w:t>
            </w:r>
          </w:p>
          <w:p w:rsidR="00C47DFE" w:rsidRPr="007C0549" w:rsidRDefault="00C47DFE" w:rsidP="00C47DFE">
            <w:pPr>
              <w:rPr>
                <w:rFonts w:cs="Arial"/>
              </w:rPr>
            </w:pPr>
          </w:p>
          <w:p w:rsidR="00C47DFE" w:rsidRDefault="00C47DFE" w:rsidP="00C47DFE">
            <w:pPr>
              <w:rPr>
                <w:rFonts w:cs="Arial"/>
              </w:rPr>
            </w:pPr>
            <w:r w:rsidRPr="007C0549">
              <w:rPr>
                <w:rFonts w:cs="Arial"/>
                <w:b/>
              </w:rPr>
              <w:t>Eligibility</w:t>
            </w:r>
            <w:r>
              <w:rPr>
                <w:rFonts w:cs="Arial"/>
              </w:rPr>
              <w:t>:</w:t>
            </w:r>
          </w:p>
          <w:p w:rsidR="00C47DFE" w:rsidRDefault="00C47DFE" w:rsidP="00C47DFE">
            <w:pPr>
              <w:rPr>
                <w:rFonts w:cs="Arial"/>
              </w:rPr>
            </w:pPr>
            <w:r w:rsidRPr="007C0549">
              <w:rPr>
                <w:rFonts w:cs="Arial"/>
              </w:rPr>
              <w:t xml:space="preserve">Consumers accessing transportation shall be at or below 150% FPL </w:t>
            </w:r>
          </w:p>
        </w:tc>
      </w:tr>
    </w:tbl>
    <w:p w:rsidR="007C0549" w:rsidRPr="007C0549" w:rsidRDefault="007C0549" w:rsidP="007C0549">
      <w:pPr>
        <w:spacing w:after="0" w:line="240" w:lineRule="auto"/>
        <w:ind w:left="90"/>
        <w:jc w:val="both"/>
        <w:rPr>
          <w:rFonts w:ascii="Arial" w:hAnsi="Arial" w:cs="Arial"/>
          <w:sz w:val="24"/>
        </w:rPr>
      </w:pPr>
    </w:p>
    <w:tbl>
      <w:tblPr>
        <w:tblStyle w:val="TableGrid18"/>
        <w:tblW w:w="0" w:type="auto"/>
        <w:tblInd w:w="90" w:type="dxa"/>
        <w:tblLook w:val="04A0" w:firstRow="1" w:lastRow="0" w:firstColumn="1" w:lastColumn="0" w:noHBand="0" w:noVBand="1"/>
      </w:tblPr>
      <w:tblGrid>
        <w:gridCol w:w="9486"/>
      </w:tblGrid>
      <w:tr w:rsidR="007C0549" w:rsidRPr="007C0549" w:rsidTr="007C0549">
        <w:tc>
          <w:tcPr>
            <w:tcW w:w="9576" w:type="dxa"/>
            <w:tcBorders>
              <w:top w:val="single" w:sz="12" w:space="0" w:color="17365D" w:themeColor="text2" w:themeShade="BF"/>
              <w:left w:val="nil"/>
              <w:bottom w:val="single" w:sz="12" w:space="0" w:color="17365D" w:themeColor="text2" w:themeShade="BF"/>
              <w:right w:val="nil"/>
            </w:tcBorders>
          </w:tcPr>
          <w:p w:rsidR="007C0549" w:rsidRPr="007C0549" w:rsidRDefault="007C0549" w:rsidP="007C0549">
            <w:pPr>
              <w:pStyle w:val="Heading3"/>
              <w:spacing w:before="0"/>
              <w:outlineLvl w:val="2"/>
              <w:rPr>
                <w:rFonts w:eastAsia="Calibri"/>
                <w:bCs/>
                <w:sz w:val="28"/>
              </w:rPr>
            </w:pPr>
            <w:bookmarkStart w:id="91" w:name="_Toc489280923"/>
            <w:r w:rsidRPr="007C0549">
              <w:rPr>
                <w:rFonts w:eastAsia="Calibri"/>
                <w:bCs/>
                <w:sz w:val="28"/>
              </w:rPr>
              <w:t>1.0 Responsibility of Case Management Agencies</w:t>
            </w:r>
            <w:bookmarkEnd w:id="91"/>
          </w:p>
        </w:tc>
      </w:tr>
    </w:tbl>
    <w:p w:rsidR="007C0549" w:rsidRPr="007C0549" w:rsidRDefault="007C0549" w:rsidP="007C0549">
      <w:pPr>
        <w:spacing w:after="0" w:line="240" w:lineRule="auto"/>
        <w:ind w:left="90"/>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7C0549">
              <w:rPr>
                <w:rFonts w:cs="Arial"/>
              </w:rPr>
              <w:t>The purpose of the responsibility of case management agencies is to establish the scope of work for the coordination of Medical Transportation..</w:t>
            </w:r>
          </w:p>
        </w:tc>
      </w:tr>
    </w:tbl>
    <w:p w:rsidR="00C47DFE" w:rsidRDefault="00C47DFE" w:rsidP="007C0549">
      <w:pPr>
        <w:spacing w:after="0" w:line="240" w:lineRule="auto"/>
        <w:jc w:val="both"/>
        <w:rPr>
          <w:rFonts w:ascii="Arial" w:hAnsi="Arial" w:cs="Arial"/>
          <w:sz w:val="24"/>
        </w:rPr>
      </w:pPr>
    </w:p>
    <w:tbl>
      <w:tblPr>
        <w:tblStyle w:val="TableGrid1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7C0549" w:rsidRPr="007C0549" w:rsidTr="007C0549">
        <w:tc>
          <w:tcPr>
            <w:tcW w:w="9558" w:type="dxa"/>
            <w:gridSpan w:val="4"/>
            <w:shd w:val="clear" w:color="auto" w:fill="17365D" w:themeFill="text2" w:themeFillShade="BF"/>
          </w:tcPr>
          <w:p w:rsidR="007C0549" w:rsidRPr="007C0549" w:rsidRDefault="007C0549" w:rsidP="007C0549">
            <w:pPr>
              <w:pStyle w:val="Heading4"/>
              <w:spacing w:before="0"/>
              <w:outlineLvl w:val="3"/>
              <w:rPr>
                <w:rFonts w:eastAsia="Calibri"/>
              </w:rPr>
            </w:pPr>
            <w:r w:rsidRPr="007C0549">
              <w:rPr>
                <w:rFonts w:eastAsia="Calibri"/>
                <w:color w:val="FFFFFF" w:themeColor="background1"/>
                <w:sz w:val="28"/>
              </w:rPr>
              <w:t>1.0 Responsibility of Case Management Agencies</w:t>
            </w:r>
          </w:p>
        </w:tc>
      </w:tr>
      <w:tr w:rsidR="007C0549" w:rsidRPr="007C0549" w:rsidTr="007C0549">
        <w:tc>
          <w:tcPr>
            <w:tcW w:w="4896" w:type="dxa"/>
            <w:gridSpan w:val="2"/>
            <w:vAlign w:val="center"/>
          </w:tcPr>
          <w:p w:rsidR="007C0549" w:rsidRPr="007C0549" w:rsidRDefault="007C0549" w:rsidP="007C0549">
            <w:pPr>
              <w:jc w:val="center"/>
            </w:pPr>
          </w:p>
        </w:tc>
        <w:tc>
          <w:tcPr>
            <w:tcW w:w="4662" w:type="dxa"/>
            <w:gridSpan w:val="2"/>
            <w:vAlign w:val="center"/>
          </w:tcPr>
          <w:p w:rsidR="007C0549" w:rsidRPr="007C0549" w:rsidRDefault="007C0549" w:rsidP="007C0549">
            <w:pPr>
              <w:jc w:val="center"/>
            </w:pPr>
          </w:p>
        </w:tc>
      </w:tr>
      <w:tr w:rsidR="007C0549" w:rsidRPr="007C0549" w:rsidTr="007C0549">
        <w:tc>
          <w:tcPr>
            <w:tcW w:w="4896" w:type="dxa"/>
            <w:gridSpan w:val="2"/>
            <w:tcBorders>
              <w:bottom w:val="single" w:sz="12" w:space="0" w:color="17365D" w:themeColor="text2" w:themeShade="BF"/>
              <w:right w:val="single" w:sz="12" w:space="0" w:color="17365D" w:themeColor="text2" w:themeShade="BF"/>
            </w:tcBorders>
            <w:vAlign w:val="center"/>
          </w:tcPr>
          <w:p w:rsidR="007C0549" w:rsidRPr="009B298A" w:rsidRDefault="007C0549" w:rsidP="007C0549">
            <w:pPr>
              <w:jc w:val="center"/>
              <w:rPr>
                <w:rStyle w:val="BookTitle"/>
              </w:rPr>
            </w:pPr>
            <w:r w:rsidRPr="009B298A">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7C0549" w:rsidRPr="009B298A" w:rsidRDefault="007C0549" w:rsidP="007C0549">
            <w:pPr>
              <w:jc w:val="center"/>
              <w:rPr>
                <w:rStyle w:val="BookTitle"/>
              </w:rPr>
            </w:pPr>
            <w:r w:rsidRPr="009B298A">
              <w:rPr>
                <w:rStyle w:val="BookTitle"/>
              </w:rPr>
              <w:t>Measures</w:t>
            </w:r>
          </w:p>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626370">
            <w:r w:rsidRPr="009B298A">
              <w:t xml:space="preserve">Ryan White is the Payer of Last Resort and as such transportation services shall be provided only to consumers who can demonstrate that all other non-Ryan White transportation services alternatives </w:t>
            </w:r>
            <w:r w:rsidRPr="009B298A">
              <w:lastRenderedPageBreak/>
              <w:t xml:space="preserve">have been exhausted, including Medicaid, Medicare. </w:t>
            </w:r>
          </w:p>
          <w:p w:rsidR="00626370" w:rsidRPr="009B298A" w:rsidRDefault="00626370" w:rsidP="00626370"/>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lastRenderedPageBreak/>
              <w:t>1.1</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Documentation that the consumer has exhausted all alternative means of obtaining transportation services. (e.g. denial of Medicaid or Medicare)</w:t>
            </w:r>
          </w:p>
          <w:p w:rsidR="007C0549" w:rsidRPr="009B298A" w:rsidRDefault="007C0549" w:rsidP="007C0549"/>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lastRenderedPageBreak/>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Agencies shall ensure that consumers receiving door-to-door transportation meet the following criteria:</w:t>
            </w:r>
          </w:p>
          <w:p w:rsidR="007C0549" w:rsidRPr="009B298A" w:rsidRDefault="007C0549" w:rsidP="001B1B43">
            <w:pPr>
              <w:pStyle w:val="ListParagraph"/>
              <w:numPr>
                <w:ilvl w:val="0"/>
                <w:numId w:val="87"/>
              </w:numPr>
            </w:pPr>
            <w:r w:rsidRPr="009B298A">
              <w:t>The income requirement;</w:t>
            </w:r>
          </w:p>
          <w:p w:rsidR="007C0549" w:rsidRPr="009B298A" w:rsidRDefault="007C0549" w:rsidP="001B1B43">
            <w:pPr>
              <w:pStyle w:val="ListParagraph"/>
              <w:numPr>
                <w:ilvl w:val="0"/>
                <w:numId w:val="87"/>
              </w:numPr>
            </w:pPr>
            <w:r w:rsidRPr="009B298A">
              <w:t>Are ineligible or have exhausted benefits under Medicaid, Medicare or Advantage Transportation;</w:t>
            </w:r>
          </w:p>
          <w:p w:rsidR="007C0549" w:rsidRPr="009B298A" w:rsidRDefault="007C0549" w:rsidP="001B1B43">
            <w:pPr>
              <w:pStyle w:val="ListParagraph"/>
              <w:numPr>
                <w:ilvl w:val="0"/>
                <w:numId w:val="87"/>
              </w:numPr>
            </w:pPr>
            <w:r w:rsidRPr="009B298A">
              <w:t>Have one core or support services (including food bank services) within 30 days; and,</w:t>
            </w:r>
          </w:p>
          <w:p w:rsidR="007C0549" w:rsidRPr="009B298A" w:rsidRDefault="007C0549" w:rsidP="001B1B43">
            <w:pPr>
              <w:pStyle w:val="ListParagraph"/>
              <w:numPr>
                <w:ilvl w:val="0"/>
                <w:numId w:val="87"/>
              </w:numPr>
            </w:pPr>
            <w:r w:rsidRPr="009B298A">
              <w:t>Live more than ¾ mile away from a bus route or cannot physically use the bus.</w:t>
            </w:r>
          </w:p>
          <w:p w:rsidR="00626370" w:rsidRPr="009B298A" w:rsidRDefault="00626370" w:rsidP="00626370">
            <w:pPr>
              <w:pStyle w:val="ListParagraph"/>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1.2</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 xml:space="preserve">Documentation in Provide Enterprise (PE) record of eligibility, record of scheduled appointment and/or completed Transportation Checklist form and documentation should reflect the type of medical and/or support service appointment for each authorized trip (bus pass/door-to-door). </w:t>
            </w:r>
          </w:p>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1.3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Agencies shall ensure that consumers receiving a 30-day bus pass meet the following criteria:</w:t>
            </w:r>
          </w:p>
          <w:p w:rsidR="007C0549" w:rsidRPr="009B298A" w:rsidRDefault="007C0549" w:rsidP="001B1B43">
            <w:pPr>
              <w:numPr>
                <w:ilvl w:val="0"/>
                <w:numId w:val="84"/>
              </w:numPr>
              <w:contextualSpacing/>
            </w:pPr>
            <w:r w:rsidRPr="009B298A">
              <w:t>The income requirement;</w:t>
            </w:r>
          </w:p>
          <w:p w:rsidR="007C0549" w:rsidRPr="009B298A" w:rsidRDefault="007C0549" w:rsidP="001B1B43">
            <w:pPr>
              <w:numPr>
                <w:ilvl w:val="0"/>
                <w:numId w:val="84"/>
              </w:numPr>
              <w:contextualSpacing/>
            </w:pPr>
            <w:r w:rsidRPr="009B298A">
              <w:t>Are ineligible or have exhausted benefits under Medicaid, Medicare or Advantage Transportation;</w:t>
            </w:r>
          </w:p>
          <w:p w:rsidR="007C0549" w:rsidRPr="009B298A" w:rsidRDefault="007C0549" w:rsidP="001B1B43">
            <w:pPr>
              <w:numPr>
                <w:ilvl w:val="0"/>
                <w:numId w:val="84"/>
              </w:numPr>
              <w:contextualSpacing/>
            </w:pPr>
            <w:r w:rsidRPr="009B298A">
              <w:t>Have two or more core or support services (including food bank services) appointment on different days within 30-day; and,</w:t>
            </w:r>
          </w:p>
          <w:p w:rsidR="007C0549" w:rsidRPr="009B298A" w:rsidRDefault="007C0549" w:rsidP="001B1B43">
            <w:pPr>
              <w:numPr>
                <w:ilvl w:val="0"/>
                <w:numId w:val="84"/>
              </w:numPr>
              <w:contextualSpacing/>
            </w:pPr>
            <w:r w:rsidRPr="009B298A">
              <w:t>Live less than ¾ of a mile away from a bus stop.</w:t>
            </w:r>
          </w:p>
          <w:p w:rsidR="00626370" w:rsidRPr="009B298A" w:rsidRDefault="00626370" w:rsidP="00626370">
            <w:pPr>
              <w:ind w:left="720"/>
              <w:contextualSpacing/>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1.3</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 xml:space="preserve">Documentation in PE record of eligibility, record of scheduled appointment and/or completed Transportation Checklist form and documentation should reflect the type of medical and/or support service appointment for each authorized trip (bus pass/door-to-door). </w:t>
            </w:r>
          </w:p>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1.4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Agencies shall ensure that consumers receiving a 1-day bus pass meet the following criteria:</w:t>
            </w:r>
          </w:p>
          <w:p w:rsidR="007C0549" w:rsidRPr="009B298A" w:rsidRDefault="007C0549" w:rsidP="001B1B43">
            <w:pPr>
              <w:numPr>
                <w:ilvl w:val="0"/>
                <w:numId w:val="84"/>
              </w:numPr>
              <w:contextualSpacing/>
            </w:pPr>
            <w:r w:rsidRPr="009B298A">
              <w:t>The income requirement;</w:t>
            </w:r>
          </w:p>
          <w:p w:rsidR="007C0549" w:rsidRPr="009B298A" w:rsidRDefault="007C0549" w:rsidP="001B1B43">
            <w:pPr>
              <w:numPr>
                <w:ilvl w:val="0"/>
                <w:numId w:val="84"/>
              </w:numPr>
              <w:contextualSpacing/>
            </w:pPr>
            <w:r w:rsidRPr="009B298A">
              <w:t>Are ineligible or have exhausted benefits under Medicaid, Medicare or Advantage Transportation;</w:t>
            </w:r>
          </w:p>
          <w:p w:rsidR="007C0549" w:rsidRPr="009B298A" w:rsidRDefault="007C0549" w:rsidP="001B1B43">
            <w:pPr>
              <w:numPr>
                <w:ilvl w:val="0"/>
                <w:numId w:val="84"/>
              </w:numPr>
              <w:contextualSpacing/>
            </w:pPr>
            <w:r w:rsidRPr="009B298A">
              <w:t xml:space="preserve">Have one core or support </w:t>
            </w:r>
            <w:r w:rsidRPr="009B298A">
              <w:lastRenderedPageBreak/>
              <w:t>services (including food bank services</w:t>
            </w:r>
            <w:r w:rsidRPr="009B298A">
              <w:rPr>
                <w:vertAlign w:val="superscript"/>
              </w:rPr>
              <w:footnoteReference w:id="1"/>
            </w:r>
            <w:r w:rsidRPr="009B298A">
              <w:t>) appointment on different days within 30-day; and,</w:t>
            </w:r>
          </w:p>
          <w:p w:rsidR="007C0549" w:rsidRPr="009B298A" w:rsidRDefault="007C0549" w:rsidP="001B1B43">
            <w:pPr>
              <w:numPr>
                <w:ilvl w:val="0"/>
                <w:numId w:val="84"/>
              </w:numPr>
              <w:contextualSpacing/>
            </w:pPr>
            <w:r w:rsidRPr="009B298A">
              <w:t>Live less than ¾ of a mile away from a bus stop.</w:t>
            </w:r>
          </w:p>
          <w:p w:rsidR="00626370" w:rsidRPr="009B298A" w:rsidRDefault="00626370" w:rsidP="00626370">
            <w:pPr>
              <w:ind w:left="720"/>
              <w:contextualSpacing/>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C47DFE" w:rsidP="007C0549">
            <w:r>
              <w:lastRenderedPageBreak/>
              <w:t>1.4</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pPr>
              <w:contextualSpacing/>
            </w:pPr>
            <w:r w:rsidRPr="009B298A">
              <w:t xml:space="preserve">Documentation in PE record of eligibility, record of scheduled appointment and/or completed Transportation Checklist form and documentation should reflect the type of medical and/or support service appointment for each authorized trip (bus pass/door-to-door). </w:t>
            </w:r>
          </w:p>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lastRenderedPageBreak/>
              <w:t>1.5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Default="007C0549" w:rsidP="007C0549">
            <w:r w:rsidRPr="009B298A">
              <w:t>Agencies shall insure that consumers accessing transportation services are provided a copy of the Ryan White Consumer’s Transportation Service guidelines and the Accessing Ryan White Transportation Brochure.</w:t>
            </w:r>
          </w:p>
          <w:p w:rsidR="009B298A" w:rsidRPr="009B298A" w:rsidRDefault="009B298A"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1.5</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pPr>
              <w:contextualSpacing/>
            </w:pPr>
            <w:r w:rsidRPr="009B298A">
              <w:t>Signed receipt in consumer file that the consumer has received a copy of the RW guidelines and brochure.</w:t>
            </w:r>
          </w:p>
        </w:tc>
      </w:tr>
    </w:tbl>
    <w:p w:rsidR="007C0549" w:rsidRPr="007C0549" w:rsidRDefault="007C0549" w:rsidP="007C0549">
      <w:pPr>
        <w:spacing w:after="0" w:line="240" w:lineRule="auto"/>
        <w:jc w:val="both"/>
        <w:rPr>
          <w:rFonts w:ascii="Arial" w:hAnsi="Arial" w:cs="Arial"/>
          <w:sz w:val="24"/>
        </w:rPr>
      </w:pPr>
    </w:p>
    <w:tbl>
      <w:tblPr>
        <w:tblStyle w:val="TableGrid18"/>
        <w:tblW w:w="0" w:type="auto"/>
        <w:tblLook w:val="04A0" w:firstRow="1" w:lastRow="0" w:firstColumn="1" w:lastColumn="0" w:noHBand="0" w:noVBand="1"/>
      </w:tblPr>
      <w:tblGrid>
        <w:gridCol w:w="9576"/>
      </w:tblGrid>
      <w:tr w:rsidR="007C0549" w:rsidRPr="007C0549" w:rsidTr="007C0549">
        <w:tc>
          <w:tcPr>
            <w:tcW w:w="9576" w:type="dxa"/>
            <w:tcBorders>
              <w:top w:val="single" w:sz="12" w:space="0" w:color="17365D" w:themeColor="text2" w:themeShade="BF"/>
              <w:left w:val="nil"/>
              <w:bottom w:val="single" w:sz="12" w:space="0" w:color="17365D" w:themeColor="text2" w:themeShade="BF"/>
              <w:right w:val="nil"/>
            </w:tcBorders>
          </w:tcPr>
          <w:p w:rsidR="007C0549" w:rsidRPr="007C0549" w:rsidRDefault="007C0549" w:rsidP="00626370">
            <w:pPr>
              <w:pStyle w:val="Heading3"/>
              <w:spacing w:before="0"/>
              <w:outlineLvl w:val="2"/>
            </w:pPr>
            <w:bookmarkStart w:id="92" w:name="_Toc489280924"/>
            <w:r w:rsidRPr="00626370">
              <w:rPr>
                <w:sz w:val="28"/>
              </w:rPr>
              <w:t>2.0 Employment Requirements</w:t>
            </w:r>
            <w:r w:rsidRPr="00626370">
              <w:rPr>
                <w:color w:val="FFFFFF" w:themeColor="background1"/>
                <w:sz w:val="28"/>
              </w:rPr>
              <w:t xml:space="preserve"> for</w:t>
            </w:r>
            <w:r w:rsidRPr="00626370">
              <w:rPr>
                <w:color w:val="FFFFFF" w:themeColor="background1"/>
                <w:sz w:val="32"/>
              </w:rPr>
              <w:t xml:space="preserve"> Transportation </w:t>
            </w:r>
            <w:r w:rsidRPr="007C0549">
              <w:rPr>
                <w:color w:val="FFFFFF" w:themeColor="background1"/>
                <w:sz w:val="28"/>
              </w:rPr>
              <w:t>Provider</w:t>
            </w:r>
            <w:bookmarkEnd w:id="92"/>
          </w:p>
        </w:tc>
      </w:tr>
    </w:tbl>
    <w:p w:rsidR="007C0549" w:rsidRPr="007C0549" w:rsidRDefault="007C0549" w:rsidP="007C0549">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7C0549">
              <w:rPr>
                <w:rFonts w:cs="Arial"/>
              </w:rPr>
              <w:t>The agency or other selected service providers must ensure the following employment requirements are met.</w:t>
            </w:r>
          </w:p>
        </w:tc>
      </w:tr>
    </w:tbl>
    <w:p w:rsidR="007C0549" w:rsidRPr="007C0549" w:rsidRDefault="007C0549" w:rsidP="007C0549">
      <w:pPr>
        <w:spacing w:after="0" w:line="240" w:lineRule="auto"/>
        <w:jc w:val="both"/>
        <w:rPr>
          <w:rFonts w:ascii="Arial" w:hAnsi="Arial" w:cs="Arial"/>
          <w:sz w:val="24"/>
        </w:rPr>
      </w:pPr>
    </w:p>
    <w:tbl>
      <w:tblPr>
        <w:tblStyle w:val="TableGrid1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7C0549" w:rsidRPr="007C0549" w:rsidTr="00626370">
        <w:tc>
          <w:tcPr>
            <w:tcW w:w="9558" w:type="dxa"/>
            <w:gridSpan w:val="4"/>
            <w:shd w:val="clear" w:color="auto" w:fill="17365D" w:themeFill="text2" w:themeFillShade="BF"/>
          </w:tcPr>
          <w:p w:rsidR="007C0549" w:rsidRPr="007C0549" w:rsidRDefault="007C0549" w:rsidP="00626370">
            <w:pPr>
              <w:pStyle w:val="Heading4"/>
              <w:spacing w:before="0"/>
              <w:outlineLvl w:val="3"/>
            </w:pPr>
            <w:r w:rsidRPr="00626370">
              <w:rPr>
                <w:color w:val="FFFFFF" w:themeColor="background1"/>
                <w:sz w:val="28"/>
              </w:rPr>
              <w:t>2.0 Employment Requirements for Transportation Provider</w:t>
            </w:r>
          </w:p>
        </w:tc>
      </w:tr>
      <w:tr w:rsidR="00626370" w:rsidRPr="007C0549" w:rsidTr="00626370">
        <w:tc>
          <w:tcPr>
            <w:tcW w:w="4896" w:type="dxa"/>
            <w:gridSpan w:val="2"/>
            <w:vAlign w:val="center"/>
          </w:tcPr>
          <w:p w:rsidR="00626370" w:rsidRPr="007C0549" w:rsidRDefault="00626370" w:rsidP="007C0549">
            <w:pPr>
              <w:jc w:val="center"/>
            </w:pPr>
          </w:p>
        </w:tc>
        <w:tc>
          <w:tcPr>
            <w:tcW w:w="4662" w:type="dxa"/>
            <w:gridSpan w:val="2"/>
            <w:vAlign w:val="center"/>
          </w:tcPr>
          <w:p w:rsidR="00626370" w:rsidRPr="007C0549" w:rsidRDefault="00626370" w:rsidP="007C0549">
            <w:pPr>
              <w:jc w:val="center"/>
            </w:pPr>
          </w:p>
        </w:tc>
      </w:tr>
      <w:tr w:rsidR="007C0549" w:rsidRPr="007C0549" w:rsidTr="00626370">
        <w:tc>
          <w:tcPr>
            <w:tcW w:w="4896" w:type="dxa"/>
            <w:gridSpan w:val="2"/>
            <w:tcBorders>
              <w:bottom w:val="single" w:sz="12" w:space="0" w:color="17365D" w:themeColor="text2" w:themeShade="BF"/>
              <w:right w:val="single" w:sz="12" w:space="0" w:color="17365D" w:themeColor="text2" w:themeShade="BF"/>
            </w:tcBorders>
            <w:vAlign w:val="center"/>
          </w:tcPr>
          <w:p w:rsidR="007C0549" w:rsidRPr="009B298A" w:rsidRDefault="007C0549" w:rsidP="007C0549">
            <w:pPr>
              <w:jc w:val="center"/>
              <w:rPr>
                <w:rStyle w:val="BookTitle"/>
              </w:rPr>
            </w:pPr>
            <w:r w:rsidRPr="009B298A">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7C0549" w:rsidRPr="009B298A" w:rsidRDefault="007C0549" w:rsidP="007C0549">
            <w:pPr>
              <w:jc w:val="center"/>
              <w:rPr>
                <w:rStyle w:val="BookTitle"/>
              </w:rPr>
            </w:pPr>
            <w:r w:rsidRPr="009B298A">
              <w:rPr>
                <w:rStyle w:val="BookTitle"/>
              </w:rPr>
              <w:t>Measures</w:t>
            </w:r>
          </w:p>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2.1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Physical examination must be performed prior to employment and at least annually thereafter.</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2.1</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Documentation on file of completed satisfactory physical exam by the conveyance or dispatch employee.</w:t>
            </w:r>
          </w:p>
          <w:p w:rsidR="00626370" w:rsidRPr="009B298A" w:rsidRDefault="00626370" w:rsidP="007C0549"/>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2.2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Use of certified approved laboratory facility for pre-employment, random, and post-accident drug urine screenings is required.</w:t>
            </w:r>
          </w:p>
          <w:p w:rsidR="00626370" w:rsidRPr="009B298A" w:rsidRDefault="00626370"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2.2</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pPr>
              <w:contextualSpacing/>
            </w:pPr>
            <w:r w:rsidRPr="009B298A">
              <w:t>Documentation of testing by certified/approved laboratory screening and results in the employee file.</w:t>
            </w:r>
          </w:p>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2.3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Department of Motor Vehicles driver’s license check with no more than six (6) points in a three (3) year period checked quarterly. No reckless driving convictions or driving under the influence of drugs or alcohol allowed regardless of the conviction date.</w:t>
            </w:r>
          </w:p>
          <w:p w:rsidR="00626370" w:rsidRPr="009B298A" w:rsidRDefault="00626370"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2.3</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DMV report in personnel record reflecting that the employee met the criteria outlined in 2.3 for inclusion</w:t>
            </w:r>
          </w:p>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2.4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 xml:space="preserve">Photocopy of the employee’s valid </w:t>
            </w:r>
            <w:r w:rsidRPr="009B298A">
              <w:lastRenderedPageBreak/>
              <w:t>Florida driver’s license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lastRenderedPageBreak/>
              <w:t>2.4</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 xml:space="preserve">Documentation in personnel record </w:t>
            </w:r>
            <w:r w:rsidRPr="009B298A">
              <w:lastRenderedPageBreak/>
              <w:t>of the employee’s driver’s license.</w:t>
            </w:r>
          </w:p>
          <w:p w:rsidR="007C0549" w:rsidRPr="009B298A" w:rsidRDefault="007C0549" w:rsidP="007C0549">
            <w:r w:rsidRPr="009B298A">
              <w:t>Random review of drivers to ensure identification is properly displayed.</w:t>
            </w:r>
          </w:p>
          <w:p w:rsidR="00626370" w:rsidRPr="009B298A" w:rsidRDefault="00626370" w:rsidP="007C0549"/>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lastRenderedPageBreak/>
              <w:t>2.5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Drivers will complete the following training within 90 days of hire:</w:t>
            </w:r>
          </w:p>
          <w:p w:rsidR="007C0549" w:rsidRPr="009B298A" w:rsidRDefault="007C0549" w:rsidP="001B1B43">
            <w:pPr>
              <w:numPr>
                <w:ilvl w:val="0"/>
                <w:numId w:val="15"/>
              </w:numPr>
              <w:contextualSpacing/>
            </w:pPr>
            <w:r w:rsidRPr="009B298A">
              <w:t>Passenger Assistance Training (P.A.T.), or equivalent training to ensure staff learns the safe and proper techniques for assisting a consumer in and out of the vehicle, for loading and securing wheelchair-bound consumer, and for assisting visually impaired consumers;</w:t>
            </w:r>
          </w:p>
          <w:p w:rsidR="007C0549" w:rsidRPr="009B298A" w:rsidRDefault="007C0549" w:rsidP="001B1B43">
            <w:pPr>
              <w:numPr>
                <w:ilvl w:val="0"/>
                <w:numId w:val="15"/>
              </w:numPr>
              <w:contextualSpacing/>
            </w:pPr>
            <w:r w:rsidRPr="009B298A">
              <w:t>A 4-hour Defensive Driving Training Course (D.D.T.C.) including a road test at the end of class, to ensure staff learns to employ safe defensive driving techniques;</w:t>
            </w:r>
          </w:p>
          <w:p w:rsidR="007C0549" w:rsidRPr="009B298A" w:rsidRDefault="007C0549" w:rsidP="001B1B43">
            <w:pPr>
              <w:numPr>
                <w:ilvl w:val="0"/>
                <w:numId w:val="15"/>
              </w:numPr>
              <w:contextualSpacing/>
            </w:pPr>
            <w:r w:rsidRPr="009B298A">
              <w:t xml:space="preserve">Current C.P.R./A.E.D. and First Aid Basics Training </w:t>
            </w:r>
          </w:p>
          <w:p w:rsidR="007C0549" w:rsidRPr="009B298A" w:rsidRDefault="007C0549" w:rsidP="001B1B43">
            <w:pPr>
              <w:numPr>
                <w:ilvl w:val="0"/>
                <w:numId w:val="15"/>
              </w:numPr>
              <w:contextualSpacing/>
            </w:pPr>
            <w:r w:rsidRPr="009B298A">
              <w:t>OSHA and US Public Health Service Guidelines.</w:t>
            </w:r>
          </w:p>
          <w:p w:rsidR="00626370" w:rsidRPr="009B298A" w:rsidRDefault="00626370" w:rsidP="00626370">
            <w:pPr>
              <w:ind w:left="360"/>
              <w:contextualSpacing/>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2.5</w:t>
            </w:r>
          </w:p>
        </w:tc>
        <w:tc>
          <w:tcPr>
            <w:tcW w:w="3960" w:type="dxa"/>
            <w:tcBorders>
              <w:top w:val="single" w:sz="12" w:space="0" w:color="17365D" w:themeColor="text2" w:themeShade="BF"/>
              <w:bottom w:val="single" w:sz="12" w:space="0" w:color="17365D" w:themeColor="text2" w:themeShade="BF"/>
            </w:tcBorders>
          </w:tcPr>
          <w:p w:rsidR="00626370" w:rsidRPr="009B298A" w:rsidRDefault="007C0549" w:rsidP="007C0549">
            <w:r w:rsidRPr="009B298A">
              <w:t xml:space="preserve">Documentation of training that </w:t>
            </w:r>
          </w:p>
          <w:p w:rsidR="007C0549" w:rsidRPr="009B298A" w:rsidRDefault="007C0549" w:rsidP="007C0549">
            <w:r w:rsidRPr="009B298A">
              <w:t>reflects the minimum requirements in 2.5 in personnel file</w:t>
            </w:r>
          </w:p>
        </w:tc>
      </w:tr>
      <w:tr w:rsidR="00626370" w:rsidRPr="007C0549" w:rsidTr="007C0549">
        <w:tc>
          <w:tcPr>
            <w:tcW w:w="738" w:type="dxa"/>
            <w:tcBorders>
              <w:top w:val="single" w:sz="12" w:space="0" w:color="17365D" w:themeColor="text2" w:themeShade="BF"/>
              <w:bottom w:val="single" w:sz="12" w:space="0" w:color="17365D" w:themeColor="text2" w:themeShade="BF"/>
            </w:tcBorders>
          </w:tcPr>
          <w:p w:rsidR="00626370" w:rsidRPr="009B298A" w:rsidRDefault="00626370" w:rsidP="007C0549">
            <w:r w:rsidRPr="009B298A">
              <w:t xml:space="preserve">2.6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626370" w:rsidRPr="009B298A" w:rsidRDefault="00626370" w:rsidP="00626370">
            <w:r w:rsidRPr="009B298A">
              <w:t xml:space="preserve">Transportation Service vehicles shall be maintained in working condition and shall contain features that make the vehicle accessible and usable by customers with disabilities. Such features shall include, but not be limited to lifts, ramps, securement devices, signage, and systems or facilitate communication with customers who have visual or hearing impairment. These accessible features shall be maintained in good working condition and promptly repaired if damaged or otherwise out-of-order. In the event that such features are not available to the customers, due to repair or maintenance, the agency shall take reasonable steps to accommodate customers with </w:t>
            </w:r>
            <w:r w:rsidRPr="009B298A">
              <w:lastRenderedPageBreak/>
              <w:t>impairment until such features are available.</w:t>
            </w:r>
          </w:p>
          <w:p w:rsidR="00626370" w:rsidRPr="009B298A" w:rsidRDefault="00626370"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626370" w:rsidRPr="009B298A" w:rsidRDefault="00626370" w:rsidP="007C0549">
            <w:r w:rsidRPr="009B298A">
              <w:lastRenderedPageBreak/>
              <w:t>2.6</w:t>
            </w:r>
          </w:p>
        </w:tc>
        <w:tc>
          <w:tcPr>
            <w:tcW w:w="3960" w:type="dxa"/>
            <w:tcBorders>
              <w:top w:val="single" w:sz="12" w:space="0" w:color="17365D" w:themeColor="text2" w:themeShade="BF"/>
              <w:bottom w:val="single" w:sz="12" w:space="0" w:color="17365D" w:themeColor="text2" w:themeShade="BF"/>
            </w:tcBorders>
          </w:tcPr>
          <w:p w:rsidR="00626370" w:rsidRPr="009B298A" w:rsidRDefault="00626370" w:rsidP="007C0549">
            <w:r w:rsidRPr="009B298A">
              <w:t>Vehicle inspection.</w:t>
            </w:r>
          </w:p>
        </w:tc>
      </w:tr>
      <w:tr w:rsidR="00626370" w:rsidRPr="007C0549" w:rsidTr="007C0549">
        <w:tc>
          <w:tcPr>
            <w:tcW w:w="738" w:type="dxa"/>
            <w:tcBorders>
              <w:top w:val="single" w:sz="12" w:space="0" w:color="17365D" w:themeColor="text2" w:themeShade="BF"/>
              <w:bottom w:val="single" w:sz="12" w:space="0" w:color="17365D" w:themeColor="text2" w:themeShade="BF"/>
            </w:tcBorders>
          </w:tcPr>
          <w:p w:rsidR="00626370" w:rsidRPr="009B298A" w:rsidRDefault="00626370" w:rsidP="007C0549">
            <w:r w:rsidRPr="009B298A">
              <w:lastRenderedPageBreak/>
              <w:t xml:space="preserve">2.7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626370" w:rsidRPr="009B298A" w:rsidRDefault="00626370" w:rsidP="00626370">
            <w:r w:rsidRPr="009B298A">
              <w:t>The agency shall not permit drivers to transport passengers other than those identified on the Voucher. Only passengers provided for on the Voucher shall be permitted in the vehicle when transporting customers.</w:t>
            </w:r>
          </w:p>
          <w:p w:rsidR="00626370" w:rsidRPr="009B298A" w:rsidRDefault="00626370" w:rsidP="00626370"/>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626370" w:rsidRPr="009B298A" w:rsidRDefault="00626370" w:rsidP="007C0549">
            <w:r w:rsidRPr="009B298A">
              <w:t>2.7</w:t>
            </w:r>
          </w:p>
        </w:tc>
        <w:tc>
          <w:tcPr>
            <w:tcW w:w="3960" w:type="dxa"/>
            <w:tcBorders>
              <w:top w:val="single" w:sz="12" w:space="0" w:color="17365D" w:themeColor="text2" w:themeShade="BF"/>
              <w:bottom w:val="single" w:sz="12" w:space="0" w:color="17365D" w:themeColor="text2" w:themeShade="BF"/>
            </w:tcBorders>
          </w:tcPr>
          <w:p w:rsidR="00626370" w:rsidRPr="009B298A" w:rsidRDefault="00626370" w:rsidP="007C0549">
            <w:r w:rsidRPr="009B298A">
              <w:t>Policy regarding transportation of non-passengers (name on voucher) available for inspection.</w:t>
            </w:r>
          </w:p>
        </w:tc>
      </w:tr>
      <w:tr w:rsidR="00626370" w:rsidRPr="007C0549" w:rsidTr="007C0549">
        <w:tc>
          <w:tcPr>
            <w:tcW w:w="738" w:type="dxa"/>
            <w:tcBorders>
              <w:top w:val="single" w:sz="12" w:space="0" w:color="17365D" w:themeColor="text2" w:themeShade="BF"/>
              <w:bottom w:val="single" w:sz="12" w:space="0" w:color="17365D" w:themeColor="text2" w:themeShade="BF"/>
            </w:tcBorders>
          </w:tcPr>
          <w:p w:rsidR="00626370" w:rsidRPr="009B298A" w:rsidRDefault="00626370" w:rsidP="007C0549">
            <w:r w:rsidRPr="009B298A">
              <w:t xml:space="preserve">2.8  </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626370" w:rsidRPr="009B298A" w:rsidRDefault="00626370" w:rsidP="00626370">
            <w:r w:rsidRPr="009B298A">
              <w:t>The agency shall maintain confidentiality of all personal information, as identified in Section 501.71, Florida Statutes (“PI”).</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626370" w:rsidRPr="009B298A" w:rsidRDefault="00626370" w:rsidP="007C0549">
            <w:r w:rsidRPr="009B298A">
              <w:t xml:space="preserve">2.8  </w:t>
            </w:r>
          </w:p>
        </w:tc>
        <w:tc>
          <w:tcPr>
            <w:tcW w:w="3960" w:type="dxa"/>
            <w:tcBorders>
              <w:top w:val="single" w:sz="12" w:space="0" w:color="17365D" w:themeColor="text2" w:themeShade="BF"/>
              <w:bottom w:val="single" w:sz="12" w:space="0" w:color="17365D" w:themeColor="text2" w:themeShade="BF"/>
            </w:tcBorders>
          </w:tcPr>
          <w:p w:rsidR="00626370" w:rsidRDefault="00626370" w:rsidP="007C0549">
            <w:r w:rsidRPr="009B298A">
              <w:t>Signed Confidentiality Statements available for inspection. Client Satisfaction Survey results will also be used to assess this standard.</w:t>
            </w:r>
          </w:p>
          <w:p w:rsidR="009B298A" w:rsidRPr="009B298A" w:rsidRDefault="009B298A" w:rsidP="007C0549"/>
        </w:tc>
      </w:tr>
    </w:tbl>
    <w:p w:rsidR="007C0549" w:rsidRDefault="007C0549" w:rsidP="007C0549">
      <w:pPr>
        <w:spacing w:after="0" w:line="240" w:lineRule="auto"/>
        <w:jc w:val="both"/>
        <w:rPr>
          <w:rFonts w:ascii="Arial" w:hAnsi="Arial" w:cs="Arial"/>
          <w:sz w:val="24"/>
        </w:rPr>
      </w:pPr>
    </w:p>
    <w:tbl>
      <w:tblPr>
        <w:tblStyle w:val="TableGrid18"/>
        <w:tblW w:w="0" w:type="auto"/>
        <w:tblLook w:val="04A0" w:firstRow="1" w:lastRow="0" w:firstColumn="1" w:lastColumn="0" w:noHBand="0" w:noVBand="1"/>
      </w:tblPr>
      <w:tblGrid>
        <w:gridCol w:w="9576"/>
      </w:tblGrid>
      <w:tr w:rsidR="007C0549" w:rsidRPr="007C0549" w:rsidTr="007C0549">
        <w:tc>
          <w:tcPr>
            <w:tcW w:w="9576" w:type="dxa"/>
            <w:tcBorders>
              <w:top w:val="single" w:sz="12" w:space="0" w:color="17365D" w:themeColor="text2" w:themeShade="BF"/>
              <w:left w:val="nil"/>
              <w:bottom w:val="single" w:sz="12" w:space="0" w:color="17365D" w:themeColor="text2" w:themeShade="BF"/>
              <w:right w:val="nil"/>
            </w:tcBorders>
          </w:tcPr>
          <w:p w:rsidR="007C0549" w:rsidRPr="007C0549" w:rsidRDefault="007C0549" w:rsidP="00F8308B">
            <w:pPr>
              <w:pStyle w:val="Heading3"/>
              <w:spacing w:before="0"/>
              <w:outlineLvl w:val="2"/>
            </w:pPr>
            <w:bookmarkStart w:id="93" w:name="_Toc489280925"/>
            <w:r w:rsidRPr="00F8308B">
              <w:rPr>
                <w:sz w:val="28"/>
              </w:rPr>
              <w:t>3.0 Quality Management</w:t>
            </w:r>
            <w:bookmarkEnd w:id="93"/>
          </w:p>
        </w:tc>
      </w:tr>
    </w:tbl>
    <w:p w:rsidR="007C0549" w:rsidRPr="007C0549" w:rsidRDefault="007C0549" w:rsidP="007C0549">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5266B8">
        <w:tc>
          <w:tcPr>
            <w:tcW w:w="9576" w:type="dxa"/>
            <w:tcBorders>
              <w:top w:val="nil"/>
              <w:left w:val="nil"/>
              <w:bottom w:val="nil"/>
              <w:right w:val="nil"/>
            </w:tcBorders>
          </w:tcPr>
          <w:p w:rsidR="00C47DFE" w:rsidRDefault="00C47DFE" w:rsidP="00C47DFE">
            <w:pPr>
              <w:rPr>
                <w:rFonts w:cs="Arial"/>
              </w:rPr>
            </w:pPr>
            <w:r w:rsidRPr="007C0549">
              <w:rPr>
                <w:rFonts w:cs="Arial"/>
              </w:rPr>
              <w:t>The provider must ensure courteous door-to-door service.</w:t>
            </w:r>
          </w:p>
        </w:tc>
      </w:tr>
    </w:tbl>
    <w:p w:rsidR="007C0549" w:rsidRPr="007C0549" w:rsidRDefault="007C0549" w:rsidP="007C0549">
      <w:pPr>
        <w:spacing w:after="0" w:line="240" w:lineRule="auto"/>
        <w:jc w:val="both"/>
        <w:rPr>
          <w:rFonts w:ascii="Arial" w:hAnsi="Arial" w:cs="Arial"/>
          <w:sz w:val="24"/>
        </w:rPr>
      </w:pPr>
    </w:p>
    <w:tbl>
      <w:tblPr>
        <w:tblStyle w:val="TableGrid1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7C0549" w:rsidRPr="007C0549" w:rsidTr="00F8308B">
        <w:tc>
          <w:tcPr>
            <w:tcW w:w="9558" w:type="dxa"/>
            <w:gridSpan w:val="4"/>
            <w:shd w:val="clear" w:color="auto" w:fill="17365D" w:themeFill="text2" w:themeFillShade="BF"/>
          </w:tcPr>
          <w:p w:rsidR="007C0549" w:rsidRPr="00F8308B" w:rsidRDefault="007C0549" w:rsidP="00F8308B">
            <w:pPr>
              <w:pStyle w:val="Heading4"/>
              <w:spacing w:before="0"/>
              <w:outlineLvl w:val="3"/>
            </w:pPr>
            <w:r w:rsidRPr="00F8308B">
              <w:rPr>
                <w:rStyle w:val="Heading4Char"/>
                <w:b/>
                <w:bCs w:val="0"/>
                <w:i/>
                <w:iCs/>
                <w:color w:val="FFFFFF" w:themeColor="background1"/>
                <w:sz w:val="28"/>
              </w:rPr>
              <w:t>3.0 Quality Managemen</w:t>
            </w:r>
            <w:r w:rsidRPr="00F8308B">
              <w:rPr>
                <w:color w:val="FFFFFF" w:themeColor="background1"/>
                <w:sz w:val="28"/>
              </w:rPr>
              <w:t>t</w:t>
            </w:r>
          </w:p>
        </w:tc>
      </w:tr>
      <w:tr w:rsidR="00F8308B" w:rsidRPr="007C0549" w:rsidTr="00F8308B">
        <w:tc>
          <w:tcPr>
            <w:tcW w:w="4896" w:type="dxa"/>
            <w:gridSpan w:val="2"/>
            <w:vAlign w:val="center"/>
          </w:tcPr>
          <w:p w:rsidR="00F8308B" w:rsidRPr="007C0549" w:rsidRDefault="00F8308B" w:rsidP="007C0549">
            <w:pPr>
              <w:jc w:val="center"/>
            </w:pPr>
          </w:p>
        </w:tc>
        <w:tc>
          <w:tcPr>
            <w:tcW w:w="4662" w:type="dxa"/>
            <w:gridSpan w:val="2"/>
            <w:vAlign w:val="center"/>
          </w:tcPr>
          <w:p w:rsidR="00F8308B" w:rsidRPr="007C0549" w:rsidRDefault="00F8308B" w:rsidP="007C0549">
            <w:pPr>
              <w:jc w:val="center"/>
            </w:pPr>
          </w:p>
        </w:tc>
      </w:tr>
      <w:tr w:rsidR="007C0549" w:rsidRPr="007C0549" w:rsidTr="00F8308B">
        <w:tc>
          <w:tcPr>
            <w:tcW w:w="4896" w:type="dxa"/>
            <w:gridSpan w:val="2"/>
            <w:tcBorders>
              <w:bottom w:val="single" w:sz="12" w:space="0" w:color="17365D" w:themeColor="text2" w:themeShade="BF"/>
              <w:right w:val="single" w:sz="12" w:space="0" w:color="17365D" w:themeColor="text2" w:themeShade="BF"/>
            </w:tcBorders>
            <w:vAlign w:val="center"/>
          </w:tcPr>
          <w:p w:rsidR="007C0549" w:rsidRPr="009B298A" w:rsidRDefault="007C0549" w:rsidP="007C0549">
            <w:pPr>
              <w:jc w:val="center"/>
              <w:rPr>
                <w:rStyle w:val="BookTitle"/>
              </w:rPr>
            </w:pPr>
            <w:r w:rsidRPr="009B298A">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7C0549" w:rsidRPr="009B298A" w:rsidRDefault="007C0549" w:rsidP="007C0549">
            <w:pPr>
              <w:jc w:val="center"/>
              <w:rPr>
                <w:rStyle w:val="BookTitle"/>
              </w:rPr>
            </w:pPr>
            <w:r w:rsidRPr="009B298A">
              <w:rPr>
                <w:rStyle w:val="BookTitle"/>
              </w:rPr>
              <w:t>Measures</w:t>
            </w:r>
          </w:p>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 xml:space="preserve">Drivers shall be scheduled to make pickups at least one (1) hour prior to scheduled appointment. For trips requiring special scheduling, arrangements shall be made by provider based on travel distance and/or special circumstances. Return trips will be scheduled based upon routing priority at completion of appointment. Return pickups shall be made within one (1) hour of call; drivers anticipating longer wait times will need to notify the </w:t>
            </w:r>
            <w:r w:rsidR="00F8308B" w:rsidRPr="009B298A">
              <w:t xml:space="preserve">consumer. </w:t>
            </w:r>
            <w:r w:rsidRPr="009B298A">
              <w:t>Drivers shall attempt to contact consumers to confirm appointments and pickup time at least 24 hours prior to scheduled appointment. Trips requiring special scheduling, arrangements shall be based upon the provider’s travel schedule and case-load.</w:t>
            </w:r>
          </w:p>
          <w:p w:rsidR="00F8308B" w:rsidRPr="009B298A" w:rsidRDefault="00F8308B"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3.1</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Documentation of ride including pick up, arrival, and drop off time is annotated in a log and updated daily.</w:t>
            </w:r>
          </w:p>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lastRenderedPageBreak/>
              <w:t>3.2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Drivers shall immediately report any type of incident or unusual occurrence to the Recipient’s Office.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3.2</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pPr>
              <w:contextualSpacing/>
            </w:pPr>
            <w:r w:rsidRPr="009B298A">
              <w:t>Documentation of incident report on file and faxed copy to Recipient’s office at the time the report is made and documented.</w:t>
            </w:r>
          </w:p>
          <w:p w:rsidR="00F8308B" w:rsidRPr="009B298A" w:rsidRDefault="00F8308B" w:rsidP="007C0549">
            <w:pPr>
              <w:contextualSpacing/>
            </w:pPr>
          </w:p>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3.3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Drivers are not permitted to transport a passenger under the age of 18 years old without adult escort, no exceptions.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3.3</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 xml:space="preserve">Documentation in trip log of the age of each consumer transported after verification on </w:t>
            </w:r>
            <w:r w:rsidR="00F8308B" w:rsidRPr="009B298A">
              <w:t>Driver’s</w:t>
            </w:r>
            <w:r w:rsidRPr="009B298A">
              <w:t xml:space="preserve"> License.</w:t>
            </w:r>
          </w:p>
          <w:p w:rsidR="00F8308B" w:rsidRPr="009B298A" w:rsidRDefault="00F8308B" w:rsidP="007C0549"/>
        </w:tc>
      </w:tr>
      <w:tr w:rsidR="007C0549" w:rsidRPr="007C0549" w:rsidTr="007C0549">
        <w:tc>
          <w:tcPr>
            <w:tcW w:w="738" w:type="dxa"/>
            <w:tcBorders>
              <w:top w:val="single" w:sz="12" w:space="0" w:color="17365D" w:themeColor="text2" w:themeShade="BF"/>
              <w:bottom w:val="single" w:sz="12" w:space="0" w:color="17365D" w:themeColor="text2" w:themeShade="BF"/>
            </w:tcBorders>
          </w:tcPr>
          <w:p w:rsidR="007C0549" w:rsidRPr="009B298A" w:rsidRDefault="00F8308B" w:rsidP="007C0549">
            <w:r w:rsidRPr="009B298A">
              <w:t>3</w:t>
            </w:r>
            <w:r w:rsidR="007C0549" w:rsidRPr="009B298A">
              <w:t>.4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7C0549" w:rsidRPr="009B298A" w:rsidRDefault="007C0549" w:rsidP="007C0549">
            <w:r w:rsidRPr="009B298A">
              <w:t>Drivers are only permitted to transport a passenger to the destination noted on his/her voucher unless the Recipient dispatcher grants permission.</w:t>
            </w:r>
          </w:p>
          <w:p w:rsidR="00F8308B" w:rsidRPr="009B298A" w:rsidRDefault="00F8308B" w:rsidP="007C0549"/>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7C0549" w:rsidRPr="009B298A" w:rsidRDefault="007C0549" w:rsidP="007C0549">
            <w:r w:rsidRPr="009B298A">
              <w:t>3.4</w:t>
            </w:r>
          </w:p>
        </w:tc>
        <w:tc>
          <w:tcPr>
            <w:tcW w:w="3960" w:type="dxa"/>
            <w:tcBorders>
              <w:top w:val="single" w:sz="12" w:space="0" w:color="17365D" w:themeColor="text2" w:themeShade="BF"/>
              <w:bottom w:val="single" w:sz="12" w:space="0" w:color="17365D" w:themeColor="text2" w:themeShade="BF"/>
            </w:tcBorders>
          </w:tcPr>
          <w:p w:rsidR="007C0549" w:rsidRPr="009B298A" w:rsidRDefault="007C0549" w:rsidP="007C0549">
            <w:r w:rsidRPr="009B298A">
              <w:t>Documentation of transportation voucher that will be provided as part of the monthly report to the Recipient.</w:t>
            </w:r>
          </w:p>
        </w:tc>
      </w:tr>
    </w:tbl>
    <w:p w:rsidR="007C0549" w:rsidRPr="007C0549" w:rsidRDefault="007C0549" w:rsidP="007C0549"/>
    <w:p w:rsidR="007C0549" w:rsidRPr="007C0549" w:rsidRDefault="007C0549" w:rsidP="007C0549"/>
    <w:p w:rsidR="007C0549" w:rsidRPr="007C0549" w:rsidRDefault="007C0549" w:rsidP="007C0549"/>
    <w:p w:rsidR="007C0549" w:rsidRPr="007C0549" w:rsidRDefault="007C0549" w:rsidP="007C0549"/>
    <w:p w:rsidR="007C0549" w:rsidRPr="007C0549" w:rsidRDefault="007C0549" w:rsidP="007C0549"/>
    <w:p w:rsidR="002A6007" w:rsidRDefault="002A6007"/>
    <w:p w:rsidR="002A6007" w:rsidRDefault="002A6007"/>
    <w:p w:rsidR="002A6007" w:rsidRDefault="002A6007">
      <w:pPr>
        <w:sectPr w:rsidR="002A6007" w:rsidSect="00B30500">
          <w:footerReference w:type="default" r:id="rId62"/>
          <w:footerReference w:type="first" r:id="rId63"/>
          <w:pgSz w:w="12240" w:h="15840" w:code="1"/>
          <w:pgMar w:top="1296" w:right="1440" w:bottom="1296" w:left="1440" w:header="720" w:footer="432" w:gutter="0"/>
          <w:cols w:space="720"/>
          <w:titlePg/>
          <w:docGrid w:linePitch="360"/>
        </w:sectPr>
      </w:pPr>
    </w:p>
    <w:tbl>
      <w:tblPr>
        <w:tblW w:w="9540" w:type="dxa"/>
        <w:tblInd w:w="18" w:type="dxa"/>
        <w:tblLook w:val="04A0" w:firstRow="1" w:lastRow="0" w:firstColumn="1" w:lastColumn="0" w:noHBand="0" w:noVBand="1"/>
      </w:tblPr>
      <w:tblGrid>
        <w:gridCol w:w="9540"/>
      </w:tblGrid>
      <w:tr w:rsidR="007E02FB" w:rsidRPr="007E02FB" w:rsidTr="00C47DFE">
        <w:tc>
          <w:tcPr>
            <w:tcW w:w="9540" w:type="dxa"/>
            <w:shd w:val="clear" w:color="auto" w:fill="002060"/>
          </w:tcPr>
          <w:p w:rsidR="007E02FB" w:rsidRPr="007E02FB" w:rsidRDefault="007E02FB" w:rsidP="00F8308B">
            <w:pPr>
              <w:pStyle w:val="Heading2"/>
              <w:spacing w:before="0" w:line="240" w:lineRule="auto"/>
              <w:jc w:val="center"/>
              <w:rPr>
                <w:rFonts w:eastAsia="Times New Roman"/>
              </w:rPr>
            </w:pPr>
            <w:bookmarkStart w:id="94" w:name="_Referral_for_Health"/>
            <w:bookmarkStart w:id="95" w:name="_Toc489280926"/>
            <w:bookmarkEnd w:id="94"/>
            <w:r w:rsidRPr="00F8308B">
              <w:rPr>
                <w:rFonts w:eastAsia="Times New Roman"/>
                <w:color w:val="FFFFFF" w:themeColor="background1"/>
                <w:sz w:val="32"/>
              </w:rPr>
              <w:lastRenderedPageBreak/>
              <w:t>Substance Abuse - Residential</w:t>
            </w:r>
            <w:bookmarkEnd w:id="95"/>
          </w:p>
        </w:tc>
      </w:tr>
    </w:tbl>
    <w:p w:rsidR="00C47DFE" w:rsidRDefault="00C47DFE" w:rsidP="00C47DFE">
      <w:pPr>
        <w:spacing w:after="0"/>
      </w:pPr>
    </w:p>
    <w:tbl>
      <w:tblPr>
        <w:tblW w:w="9540" w:type="dxa"/>
        <w:tblInd w:w="18" w:type="dxa"/>
        <w:tblLook w:val="04A0" w:firstRow="1" w:lastRow="0" w:firstColumn="1" w:lastColumn="0" w:noHBand="0" w:noVBand="1"/>
      </w:tblPr>
      <w:tblGrid>
        <w:gridCol w:w="9540"/>
      </w:tblGrid>
      <w:tr w:rsidR="00F8308B" w:rsidRPr="00F8308B" w:rsidTr="00C47DFE">
        <w:tc>
          <w:tcPr>
            <w:tcW w:w="9540" w:type="dxa"/>
            <w:shd w:val="clear" w:color="auto" w:fill="auto"/>
          </w:tcPr>
          <w:p w:rsidR="009B298A" w:rsidRDefault="00F8308B" w:rsidP="00F8308B">
            <w:pPr>
              <w:spacing w:after="0" w:line="240" w:lineRule="auto"/>
              <w:jc w:val="both"/>
              <w:rPr>
                <w:rFonts w:ascii="Arial" w:eastAsia="Times New Roman" w:hAnsi="Arial" w:cs="Arial"/>
                <w:b/>
                <w:sz w:val="24"/>
                <w:szCs w:val="24"/>
              </w:rPr>
            </w:pPr>
            <w:r w:rsidRPr="00F8308B">
              <w:rPr>
                <w:rFonts w:ascii="Arial" w:eastAsia="Times New Roman" w:hAnsi="Arial" w:cs="Arial"/>
                <w:b/>
                <w:sz w:val="24"/>
                <w:szCs w:val="24"/>
              </w:rPr>
              <w:t xml:space="preserve">Definition: </w:t>
            </w:r>
          </w:p>
          <w:p w:rsidR="00F8308B" w:rsidRPr="00F8308B" w:rsidRDefault="00F8308B" w:rsidP="00F8308B">
            <w:pPr>
              <w:spacing w:after="0" w:line="240" w:lineRule="auto"/>
              <w:jc w:val="both"/>
              <w:rPr>
                <w:rFonts w:ascii="Arial" w:eastAsia="Times New Roman" w:hAnsi="Arial" w:cs="Arial"/>
                <w:sz w:val="24"/>
                <w:szCs w:val="24"/>
              </w:rPr>
            </w:pPr>
            <w:r w:rsidRPr="00F8308B">
              <w:rPr>
                <w:rFonts w:ascii="Arial" w:eastAsia="Times New Roman" w:hAnsi="Arial" w:cs="Arial"/>
                <w:sz w:val="24"/>
                <w:szCs w:val="24"/>
              </w:rPr>
              <w:t xml:space="preserve">Substance Abuse Services (residential) is the provision of services for the treatment of drug or alcohol use disorders in a residential setting to include screening, assessment, diagnosis, and treatment of substance use disorder. This service includes: </w:t>
            </w:r>
          </w:p>
          <w:p w:rsidR="00F8308B" w:rsidRPr="00C47DFE" w:rsidRDefault="00F8308B" w:rsidP="001B1B43">
            <w:pPr>
              <w:pStyle w:val="ListParagraph"/>
              <w:numPr>
                <w:ilvl w:val="0"/>
                <w:numId w:val="109"/>
              </w:numPr>
              <w:autoSpaceDE w:val="0"/>
              <w:autoSpaceDN w:val="0"/>
              <w:adjustRightInd w:val="0"/>
              <w:spacing w:after="0" w:line="240" w:lineRule="auto"/>
              <w:jc w:val="both"/>
              <w:rPr>
                <w:rFonts w:ascii="Arial" w:eastAsia="Calibri" w:hAnsi="Arial" w:cs="Arial"/>
                <w:color w:val="000000"/>
                <w:sz w:val="24"/>
                <w:szCs w:val="24"/>
              </w:rPr>
            </w:pPr>
            <w:r w:rsidRPr="00C47DFE">
              <w:rPr>
                <w:rFonts w:ascii="Arial" w:eastAsia="Calibri" w:hAnsi="Arial" w:cs="Arial"/>
                <w:color w:val="000000"/>
                <w:sz w:val="24"/>
                <w:szCs w:val="24"/>
              </w:rPr>
              <w:t>Pretreatment/recovery readiness programs</w:t>
            </w:r>
          </w:p>
          <w:p w:rsidR="00F8308B" w:rsidRPr="00C47DFE" w:rsidRDefault="00F8308B" w:rsidP="001B1B43">
            <w:pPr>
              <w:pStyle w:val="ListParagraph"/>
              <w:numPr>
                <w:ilvl w:val="0"/>
                <w:numId w:val="109"/>
              </w:numPr>
              <w:autoSpaceDE w:val="0"/>
              <w:autoSpaceDN w:val="0"/>
              <w:adjustRightInd w:val="0"/>
              <w:spacing w:after="0" w:line="240" w:lineRule="auto"/>
              <w:jc w:val="both"/>
              <w:rPr>
                <w:rFonts w:ascii="Arial" w:eastAsia="Calibri" w:hAnsi="Arial" w:cs="Arial"/>
                <w:color w:val="000000"/>
                <w:sz w:val="24"/>
                <w:szCs w:val="24"/>
              </w:rPr>
            </w:pPr>
            <w:r w:rsidRPr="00C47DFE">
              <w:rPr>
                <w:rFonts w:ascii="Arial" w:eastAsia="Calibri" w:hAnsi="Arial" w:cs="Arial"/>
                <w:color w:val="000000"/>
                <w:sz w:val="24"/>
                <w:szCs w:val="24"/>
              </w:rPr>
              <w:t>Harm reduction</w:t>
            </w:r>
          </w:p>
          <w:p w:rsidR="00F8308B" w:rsidRPr="00C47DFE" w:rsidRDefault="00F8308B" w:rsidP="001B1B43">
            <w:pPr>
              <w:pStyle w:val="ListParagraph"/>
              <w:numPr>
                <w:ilvl w:val="0"/>
                <w:numId w:val="109"/>
              </w:numPr>
              <w:autoSpaceDE w:val="0"/>
              <w:autoSpaceDN w:val="0"/>
              <w:adjustRightInd w:val="0"/>
              <w:spacing w:after="0" w:line="240" w:lineRule="auto"/>
              <w:jc w:val="both"/>
              <w:rPr>
                <w:rFonts w:ascii="Arial" w:eastAsia="Calibri" w:hAnsi="Arial" w:cs="Arial"/>
                <w:color w:val="000000"/>
                <w:sz w:val="24"/>
                <w:szCs w:val="24"/>
              </w:rPr>
            </w:pPr>
            <w:r w:rsidRPr="00C47DFE">
              <w:rPr>
                <w:rFonts w:ascii="Arial" w:eastAsia="Calibri" w:hAnsi="Arial" w:cs="Arial"/>
                <w:color w:val="000000"/>
                <w:sz w:val="24"/>
                <w:szCs w:val="24"/>
              </w:rPr>
              <w:t>Behavioral health counseling associated with substance use disorder</w:t>
            </w:r>
          </w:p>
          <w:p w:rsidR="00F8308B" w:rsidRPr="00C47DFE" w:rsidRDefault="00F8308B" w:rsidP="001B1B43">
            <w:pPr>
              <w:pStyle w:val="ListParagraph"/>
              <w:numPr>
                <w:ilvl w:val="0"/>
                <w:numId w:val="109"/>
              </w:numPr>
              <w:autoSpaceDE w:val="0"/>
              <w:autoSpaceDN w:val="0"/>
              <w:adjustRightInd w:val="0"/>
              <w:spacing w:after="0" w:line="240" w:lineRule="auto"/>
              <w:jc w:val="both"/>
              <w:rPr>
                <w:rFonts w:ascii="Arial" w:eastAsia="Calibri" w:hAnsi="Arial" w:cs="Arial"/>
                <w:color w:val="000000"/>
                <w:sz w:val="24"/>
                <w:szCs w:val="24"/>
              </w:rPr>
            </w:pPr>
            <w:r w:rsidRPr="00C47DFE">
              <w:rPr>
                <w:rFonts w:ascii="Arial" w:eastAsia="Calibri" w:hAnsi="Arial" w:cs="Arial"/>
                <w:color w:val="000000"/>
                <w:sz w:val="24"/>
                <w:szCs w:val="24"/>
              </w:rPr>
              <w:t>Medication assisted therapy</w:t>
            </w:r>
          </w:p>
          <w:p w:rsidR="00F8308B" w:rsidRPr="00C47DFE" w:rsidRDefault="00F8308B" w:rsidP="001B1B43">
            <w:pPr>
              <w:pStyle w:val="ListParagraph"/>
              <w:numPr>
                <w:ilvl w:val="0"/>
                <w:numId w:val="109"/>
              </w:numPr>
              <w:autoSpaceDE w:val="0"/>
              <w:autoSpaceDN w:val="0"/>
              <w:adjustRightInd w:val="0"/>
              <w:spacing w:after="0" w:line="240" w:lineRule="auto"/>
              <w:jc w:val="both"/>
              <w:rPr>
                <w:rFonts w:ascii="Arial" w:eastAsia="Calibri" w:hAnsi="Arial" w:cs="Arial"/>
                <w:color w:val="000000"/>
                <w:sz w:val="24"/>
                <w:szCs w:val="24"/>
              </w:rPr>
            </w:pPr>
            <w:r w:rsidRPr="00C47DFE">
              <w:rPr>
                <w:rFonts w:ascii="Arial" w:eastAsia="Calibri" w:hAnsi="Arial" w:cs="Arial"/>
                <w:color w:val="000000"/>
                <w:sz w:val="24"/>
                <w:szCs w:val="24"/>
              </w:rPr>
              <w:t>Neuro-psychiatric pharmaceuticals</w:t>
            </w:r>
          </w:p>
          <w:p w:rsidR="00F8308B" w:rsidRPr="00C47DFE" w:rsidRDefault="00F8308B" w:rsidP="001B1B43">
            <w:pPr>
              <w:pStyle w:val="ListParagraph"/>
              <w:numPr>
                <w:ilvl w:val="0"/>
                <w:numId w:val="109"/>
              </w:numPr>
              <w:autoSpaceDE w:val="0"/>
              <w:autoSpaceDN w:val="0"/>
              <w:adjustRightInd w:val="0"/>
              <w:spacing w:after="0" w:line="240" w:lineRule="auto"/>
              <w:jc w:val="both"/>
              <w:rPr>
                <w:rFonts w:ascii="Arial" w:eastAsia="Calibri" w:hAnsi="Arial" w:cs="Arial"/>
                <w:color w:val="000000"/>
                <w:sz w:val="24"/>
                <w:szCs w:val="24"/>
              </w:rPr>
            </w:pPr>
            <w:r w:rsidRPr="00C47DFE">
              <w:rPr>
                <w:rFonts w:ascii="Arial" w:eastAsia="Calibri" w:hAnsi="Arial" w:cs="Arial"/>
                <w:color w:val="000000"/>
                <w:sz w:val="24"/>
                <w:szCs w:val="24"/>
              </w:rPr>
              <w:t>Relapse prevention</w:t>
            </w:r>
          </w:p>
          <w:p w:rsidR="00F8308B" w:rsidRPr="00C47DFE" w:rsidRDefault="00F8308B" w:rsidP="001B1B43">
            <w:pPr>
              <w:pStyle w:val="ListParagraph"/>
              <w:numPr>
                <w:ilvl w:val="0"/>
                <w:numId w:val="109"/>
              </w:numPr>
              <w:autoSpaceDE w:val="0"/>
              <w:autoSpaceDN w:val="0"/>
              <w:adjustRightInd w:val="0"/>
              <w:spacing w:after="0" w:line="240" w:lineRule="auto"/>
              <w:jc w:val="both"/>
              <w:rPr>
                <w:rFonts w:ascii="Arial" w:eastAsia="Calibri" w:hAnsi="Arial" w:cs="Arial"/>
                <w:color w:val="000000"/>
                <w:sz w:val="24"/>
                <w:szCs w:val="24"/>
              </w:rPr>
            </w:pPr>
            <w:r w:rsidRPr="00C47DFE">
              <w:rPr>
                <w:rFonts w:ascii="Arial" w:eastAsia="Calibri" w:hAnsi="Arial" w:cs="Arial"/>
                <w:color w:val="000000"/>
                <w:sz w:val="24"/>
                <w:szCs w:val="24"/>
              </w:rPr>
              <w:t>Detoxification, if offered in a separate licensed residential setting (including a separately-licensed detoxification facility within the walls of an inpatient medical or psychiatric hospital).</w:t>
            </w:r>
          </w:p>
          <w:p w:rsidR="00F8308B" w:rsidRPr="00F8308B" w:rsidRDefault="00F8308B" w:rsidP="00F8308B">
            <w:pPr>
              <w:spacing w:after="0" w:line="240" w:lineRule="auto"/>
              <w:jc w:val="both"/>
              <w:rPr>
                <w:rFonts w:ascii="Arial" w:eastAsia="Times New Roman" w:hAnsi="Arial" w:cs="Arial"/>
                <w:sz w:val="24"/>
                <w:szCs w:val="24"/>
              </w:rPr>
            </w:pPr>
          </w:p>
          <w:p w:rsidR="00F8308B" w:rsidRPr="00F8308B" w:rsidRDefault="00F8308B" w:rsidP="00F8308B">
            <w:pPr>
              <w:spacing w:after="0" w:line="240" w:lineRule="auto"/>
              <w:jc w:val="both"/>
              <w:rPr>
                <w:rFonts w:ascii="Arial" w:eastAsia="Times New Roman" w:hAnsi="Arial" w:cs="Arial"/>
                <w:sz w:val="24"/>
                <w:szCs w:val="24"/>
              </w:rPr>
            </w:pPr>
            <w:r w:rsidRPr="00F8308B">
              <w:rPr>
                <w:rFonts w:ascii="Arial" w:eastAsia="Times New Roman" w:hAnsi="Arial" w:cs="Arial"/>
                <w:sz w:val="24"/>
                <w:szCs w:val="24"/>
              </w:rPr>
              <w:t>Substance Abuse Services (residential) is permitted only when the consumer has received a written referral from the clinical provider as part of a substance use disorder treatment program funded under the Ryan White Program.</w:t>
            </w:r>
          </w:p>
          <w:p w:rsidR="00F8308B" w:rsidRPr="00F8308B" w:rsidRDefault="00F8308B" w:rsidP="00F8308B">
            <w:pPr>
              <w:spacing w:after="0" w:line="240" w:lineRule="auto"/>
              <w:jc w:val="both"/>
              <w:rPr>
                <w:rFonts w:ascii="Arial" w:eastAsia="Times New Roman" w:hAnsi="Arial" w:cs="Arial"/>
                <w:sz w:val="24"/>
                <w:szCs w:val="24"/>
              </w:rPr>
            </w:pPr>
          </w:p>
          <w:p w:rsidR="00F8308B" w:rsidRPr="00F8308B" w:rsidRDefault="00F8308B" w:rsidP="00F8308B">
            <w:pPr>
              <w:autoSpaceDE w:val="0"/>
              <w:autoSpaceDN w:val="0"/>
              <w:adjustRightInd w:val="0"/>
              <w:spacing w:after="0" w:line="240" w:lineRule="auto"/>
              <w:jc w:val="both"/>
              <w:rPr>
                <w:rFonts w:ascii="Arial" w:eastAsia="Calibri" w:hAnsi="Arial" w:cs="Arial"/>
                <w:color w:val="000000"/>
                <w:sz w:val="24"/>
                <w:szCs w:val="24"/>
              </w:rPr>
            </w:pPr>
            <w:r w:rsidRPr="00F8308B">
              <w:rPr>
                <w:rFonts w:ascii="Arial" w:eastAsia="Calibri" w:hAnsi="Arial" w:cs="Arial"/>
                <w:color w:val="000000"/>
                <w:sz w:val="24"/>
                <w:szCs w:val="24"/>
              </w:rPr>
              <w:t>Acupuncture therapy may be allowable under this services category only when it is included in a documented plan as part of a substance use disorder treatment program funded under the Ryan White Program.</w:t>
            </w:r>
          </w:p>
          <w:p w:rsidR="00F8308B" w:rsidRPr="00F8308B" w:rsidRDefault="00F8308B" w:rsidP="00F8308B">
            <w:pPr>
              <w:spacing w:after="0" w:line="240" w:lineRule="auto"/>
              <w:jc w:val="both"/>
              <w:rPr>
                <w:rFonts w:ascii="Arial" w:eastAsia="Times New Roman" w:hAnsi="Arial" w:cs="Arial"/>
                <w:sz w:val="24"/>
                <w:szCs w:val="24"/>
              </w:rPr>
            </w:pPr>
          </w:p>
          <w:p w:rsidR="00F8308B" w:rsidRPr="00C47DFE" w:rsidRDefault="009B298A" w:rsidP="00F8308B">
            <w:pPr>
              <w:spacing w:after="0" w:line="240" w:lineRule="auto"/>
              <w:jc w:val="both"/>
              <w:rPr>
                <w:rFonts w:ascii="Arial" w:eastAsia="Times New Roman" w:hAnsi="Arial" w:cs="Arial"/>
                <w:b/>
                <w:szCs w:val="24"/>
              </w:rPr>
            </w:pPr>
            <w:r w:rsidRPr="00C47DFE">
              <w:rPr>
                <w:rFonts w:ascii="Arial" w:eastAsia="Times New Roman" w:hAnsi="Arial" w:cs="Arial"/>
                <w:b/>
                <w:szCs w:val="24"/>
              </w:rPr>
              <w:t xml:space="preserve">Note: </w:t>
            </w:r>
            <w:r w:rsidR="00F8308B" w:rsidRPr="00C47DFE">
              <w:rPr>
                <w:rFonts w:ascii="Arial" w:eastAsia="Times New Roman" w:hAnsi="Arial" w:cs="Arial"/>
                <w:b/>
                <w:szCs w:val="24"/>
              </w:rPr>
              <w:t>Ryan White funds may not be used for inpatient detoxification in a hospital setting, unless the detoxification facility has a separate license.</w:t>
            </w:r>
          </w:p>
          <w:p w:rsidR="00F8308B" w:rsidRPr="00F8308B" w:rsidRDefault="00F8308B" w:rsidP="00F8308B">
            <w:pPr>
              <w:spacing w:after="0" w:line="240" w:lineRule="auto"/>
              <w:jc w:val="both"/>
              <w:rPr>
                <w:rFonts w:ascii="Arial" w:eastAsia="Times New Roman" w:hAnsi="Arial" w:cs="Arial"/>
                <w:sz w:val="24"/>
                <w:szCs w:val="24"/>
              </w:rPr>
            </w:pPr>
          </w:p>
          <w:p w:rsidR="009B298A" w:rsidRDefault="00F8308B" w:rsidP="00F8308B">
            <w:pPr>
              <w:spacing w:after="0" w:line="240" w:lineRule="auto"/>
              <w:jc w:val="both"/>
              <w:rPr>
                <w:rFonts w:ascii="Arial" w:eastAsia="Times New Roman" w:hAnsi="Arial" w:cs="Arial"/>
                <w:sz w:val="24"/>
                <w:szCs w:val="24"/>
              </w:rPr>
            </w:pPr>
            <w:r w:rsidRPr="00F8308B">
              <w:rPr>
                <w:rFonts w:ascii="Arial" w:eastAsia="Times New Roman" w:hAnsi="Arial" w:cs="Arial"/>
                <w:b/>
                <w:bCs/>
                <w:sz w:val="24"/>
                <w:szCs w:val="24"/>
              </w:rPr>
              <w:t>Unit of Service:</w:t>
            </w:r>
            <w:r w:rsidRPr="00F8308B">
              <w:rPr>
                <w:rFonts w:ascii="Arial" w:eastAsia="Times New Roman" w:hAnsi="Arial" w:cs="Arial"/>
                <w:sz w:val="24"/>
                <w:szCs w:val="24"/>
              </w:rPr>
              <w:t xml:space="preserve">  </w:t>
            </w:r>
          </w:p>
          <w:p w:rsidR="00F8308B" w:rsidRDefault="00F8308B" w:rsidP="00F8308B">
            <w:pPr>
              <w:spacing w:after="0" w:line="240" w:lineRule="auto"/>
              <w:jc w:val="both"/>
              <w:rPr>
                <w:rFonts w:ascii="Arial" w:eastAsia="Times New Roman" w:hAnsi="Arial" w:cs="Arial"/>
                <w:sz w:val="24"/>
                <w:szCs w:val="24"/>
              </w:rPr>
            </w:pPr>
            <w:r w:rsidRPr="00F8308B">
              <w:rPr>
                <w:rFonts w:ascii="Arial" w:eastAsia="Times New Roman" w:hAnsi="Arial" w:cs="Arial"/>
                <w:sz w:val="24"/>
                <w:szCs w:val="24"/>
              </w:rPr>
              <w:t>A unit</w:t>
            </w:r>
            <w:r w:rsidRPr="00F8308B">
              <w:rPr>
                <w:rFonts w:ascii="Cambria" w:eastAsia="Times New Roman" w:hAnsi="Cambria" w:cs="Times New Roman"/>
                <w:sz w:val="20"/>
                <w:szCs w:val="20"/>
              </w:rPr>
              <w:t xml:space="preserve"> </w:t>
            </w:r>
            <w:r w:rsidRPr="00F8308B">
              <w:rPr>
                <w:rFonts w:ascii="Arial" w:eastAsia="Times New Roman" w:hAnsi="Arial" w:cs="Arial"/>
                <w:sz w:val="24"/>
                <w:szCs w:val="24"/>
              </w:rPr>
              <w:t>is defined as one bed-day.</w:t>
            </w:r>
          </w:p>
          <w:p w:rsidR="00960D4B" w:rsidRPr="00F8308B" w:rsidRDefault="00960D4B" w:rsidP="00F8308B">
            <w:pPr>
              <w:spacing w:after="0" w:line="240" w:lineRule="auto"/>
              <w:jc w:val="both"/>
              <w:rPr>
                <w:rFonts w:ascii="Cambria" w:eastAsia="Times New Roman" w:hAnsi="Cambria" w:cs="Times New Roman"/>
                <w:sz w:val="20"/>
                <w:szCs w:val="20"/>
              </w:rPr>
            </w:pPr>
          </w:p>
          <w:p w:rsidR="009B298A" w:rsidRDefault="00F8308B" w:rsidP="009B298A">
            <w:pPr>
              <w:spacing w:after="0"/>
              <w:rPr>
                <w:rFonts w:ascii="Arial" w:hAnsi="Arial" w:cs="Arial"/>
                <w:b/>
                <w:sz w:val="24"/>
              </w:rPr>
            </w:pPr>
            <w:r w:rsidRPr="00960D4B">
              <w:rPr>
                <w:rFonts w:ascii="Arial" w:hAnsi="Arial" w:cs="Arial"/>
                <w:b/>
                <w:sz w:val="24"/>
              </w:rPr>
              <w:t xml:space="preserve">Eligibility: </w:t>
            </w:r>
          </w:p>
          <w:p w:rsidR="00F8308B" w:rsidRPr="00960D4B" w:rsidRDefault="00F8308B" w:rsidP="009B298A">
            <w:pPr>
              <w:spacing w:after="0"/>
              <w:rPr>
                <w:rFonts w:ascii="Arial" w:hAnsi="Arial" w:cs="Arial"/>
                <w:b/>
              </w:rPr>
            </w:pPr>
            <w:r w:rsidRPr="00960D4B">
              <w:rPr>
                <w:rFonts w:ascii="Arial" w:hAnsi="Arial" w:cs="Arial"/>
                <w:sz w:val="24"/>
              </w:rPr>
              <w:t>Consumers shall meet eligibility requirements as defined in the System-Wide Standards of Care.</w:t>
            </w:r>
          </w:p>
        </w:tc>
      </w:tr>
    </w:tbl>
    <w:p w:rsidR="00F8308B" w:rsidRPr="00F8308B" w:rsidRDefault="00F8308B" w:rsidP="00F8308B">
      <w:pPr>
        <w:spacing w:after="0" w:line="240" w:lineRule="auto"/>
        <w:ind w:left="1080" w:hanging="360"/>
        <w:jc w:val="both"/>
        <w:rPr>
          <w:rFonts w:ascii="Cambria" w:eastAsia="Times New Roman" w:hAnsi="Cambria" w:cs="Times New Roman"/>
        </w:rPr>
      </w:pPr>
    </w:p>
    <w:tbl>
      <w:tblPr>
        <w:tblStyle w:val="TableGrid18"/>
        <w:tblW w:w="0" w:type="auto"/>
        <w:tblLook w:val="04A0" w:firstRow="1" w:lastRow="0" w:firstColumn="1" w:lastColumn="0" w:noHBand="0" w:noVBand="1"/>
      </w:tblPr>
      <w:tblGrid>
        <w:gridCol w:w="9576"/>
      </w:tblGrid>
      <w:tr w:rsidR="00F8308B" w:rsidRPr="007C0549" w:rsidTr="00960D4B">
        <w:tc>
          <w:tcPr>
            <w:tcW w:w="9576" w:type="dxa"/>
            <w:tcBorders>
              <w:top w:val="single" w:sz="12" w:space="0" w:color="17365D" w:themeColor="text2" w:themeShade="BF"/>
              <w:left w:val="nil"/>
              <w:bottom w:val="single" w:sz="12" w:space="0" w:color="17365D" w:themeColor="text2" w:themeShade="BF"/>
              <w:right w:val="nil"/>
            </w:tcBorders>
          </w:tcPr>
          <w:p w:rsidR="00F8308B" w:rsidRPr="00F8308B" w:rsidRDefault="00F8308B" w:rsidP="00F8308B">
            <w:pPr>
              <w:pStyle w:val="Heading3"/>
              <w:spacing w:before="0"/>
              <w:outlineLvl w:val="2"/>
            </w:pPr>
            <w:bookmarkStart w:id="96" w:name="_Toc489280927"/>
            <w:r w:rsidRPr="00F8308B">
              <w:rPr>
                <w:sz w:val="28"/>
              </w:rPr>
              <w:t>1.0 Agency Policies and Procedures</w:t>
            </w:r>
            <w:bookmarkEnd w:id="96"/>
          </w:p>
        </w:tc>
      </w:tr>
    </w:tbl>
    <w:p w:rsidR="00F8308B" w:rsidRDefault="00F8308B" w:rsidP="00F8308B">
      <w:pPr>
        <w:spacing w:after="0" w:line="240" w:lineRule="auto"/>
        <w:ind w:left="1080" w:hanging="360"/>
        <w:jc w:val="both"/>
        <w:rPr>
          <w:rFonts w:ascii="Cambria" w:eastAsia="Times New Roman" w:hAnsi="Cambria" w:cs="Times New Roman"/>
        </w:rPr>
      </w:pPr>
    </w:p>
    <w:tbl>
      <w:tblPr>
        <w:tblW w:w="9558" w:type="dxa"/>
        <w:tblLook w:val="04A0" w:firstRow="1" w:lastRow="0" w:firstColumn="1" w:lastColumn="0" w:noHBand="0" w:noVBand="1"/>
      </w:tblPr>
      <w:tblGrid>
        <w:gridCol w:w="9558"/>
      </w:tblGrid>
      <w:tr w:rsidR="00F8308B" w:rsidRPr="00F8308B" w:rsidTr="00C47DFE">
        <w:trPr>
          <w:trHeight w:val="914"/>
        </w:trPr>
        <w:tc>
          <w:tcPr>
            <w:tcW w:w="9558" w:type="dxa"/>
            <w:shd w:val="clear" w:color="auto" w:fill="auto"/>
          </w:tcPr>
          <w:p w:rsidR="00F8308B" w:rsidRPr="00F8308B" w:rsidRDefault="00F8308B" w:rsidP="00F8308B">
            <w:pPr>
              <w:spacing w:after="0" w:line="240" w:lineRule="auto"/>
              <w:ind w:left="90" w:right="54"/>
              <w:jc w:val="both"/>
              <w:rPr>
                <w:rFonts w:ascii="Arial" w:eastAsia="Times New Roman" w:hAnsi="Arial" w:cs="Arial"/>
                <w:sz w:val="24"/>
                <w:szCs w:val="24"/>
              </w:rPr>
            </w:pPr>
            <w:r w:rsidRPr="00F8308B">
              <w:rPr>
                <w:rFonts w:ascii="Arial" w:eastAsia="Times New Roman" w:hAnsi="Arial" w:cs="Arial"/>
                <w:sz w:val="24"/>
                <w:szCs w:val="24"/>
              </w:rPr>
              <w:t>The Agencies shall have Policies and Procedures to ensure that the Services are accessible to all eligible consumers.  The Agency’s’ policies and procedures shall ensure compliance with the following Standards.</w:t>
            </w:r>
          </w:p>
        </w:tc>
      </w:tr>
    </w:tbl>
    <w:p w:rsidR="00F8308B" w:rsidRPr="00F8308B" w:rsidRDefault="00F8308B" w:rsidP="00F8308B">
      <w:pPr>
        <w:spacing w:after="0" w:line="240" w:lineRule="auto"/>
        <w:ind w:left="1080" w:hanging="360"/>
        <w:jc w:val="both"/>
        <w:rPr>
          <w:rFonts w:ascii="Cambria" w:eastAsia="Times New Roman" w:hAnsi="Cambria" w:cs="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8308B" w:rsidRPr="00F8308B" w:rsidTr="00C47DFE">
        <w:tc>
          <w:tcPr>
            <w:tcW w:w="9540" w:type="dxa"/>
            <w:shd w:val="clear" w:color="auto" w:fill="002060"/>
          </w:tcPr>
          <w:p w:rsidR="00F8308B" w:rsidRPr="00F8308B" w:rsidRDefault="00F8308B" w:rsidP="000349FF">
            <w:pPr>
              <w:pStyle w:val="Heading4"/>
              <w:spacing w:before="0" w:line="240" w:lineRule="auto"/>
              <w:rPr>
                <w:rFonts w:eastAsia="Times New Roman"/>
              </w:rPr>
            </w:pPr>
            <w:r w:rsidRPr="00F8308B">
              <w:rPr>
                <w:rFonts w:eastAsia="Times New Roman"/>
                <w:color w:val="FFFFFF" w:themeColor="background1"/>
                <w:sz w:val="28"/>
              </w:rPr>
              <w:t>1.0   Agency Policies and Procedures</w:t>
            </w:r>
          </w:p>
        </w:tc>
      </w:tr>
    </w:tbl>
    <w:tbl>
      <w:tblPr>
        <w:tblStyle w:val="TableGrid1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F8308B" w:rsidRPr="007C0549" w:rsidTr="00960D4B">
        <w:tc>
          <w:tcPr>
            <w:tcW w:w="4896" w:type="dxa"/>
            <w:gridSpan w:val="2"/>
            <w:vAlign w:val="center"/>
          </w:tcPr>
          <w:p w:rsidR="00F8308B" w:rsidRPr="007C0549" w:rsidRDefault="00F8308B" w:rsidP="000349FF">
            <w:pPr>
              <w:jc w:val="center"/>
            </w:pPr>
          </w:p>
        </w:tc>
        <w:tc>
          <w:tcPr>
            <w:tcW w:w="4662" w:type="dxa"/>
            <w:gridSpan w:val="2"/>
            <w:vAlign w:val="center"/>
          </w:tcPr>
          <w:p w:rsidR="00F8308B" w:rsidRPr="007C0549" w:rsidRDefault="00F8308B" w:rsidP="000349FF">
            <w:pPr>
              <w:jc w:val="center"/>
            </w:pPr>
          </w:p>
        </w:tc>
      </w:tr>
      <w:tr w:rsidR="00F8308B" w:rsidRPr="007C0549" w:rsidTr="00960D4B">
        <w:tc>
          <w:tcPr>
            <w:tcW w:w="4896" w:type="dxa"/>
            <w:gridSpan w:val="2"/>
            <w:tcBorders>
              <w:bottom w:val="single" w:sz="12" w:space="0" w:color="17365D" w:themeColor="text2" w:themeShade="BF"/>
              <w:right w:val="single" w:sz="12" w:space="0" w:color="17365D" w:themeColor="text2" w:themeShade="BF"/>
            </w:tcBorders>
            <w:vAlign w:val="center"/>
          </w:tcPr>
          <w:p w:rsidR="00F8308B" w:rsidRPr="009B298A" w:rsidRDefault="00F8308B" w:rsidP="000349FF">
            <w:pPr>
              <w:jc w:val="center"/>
              <w:rPr>
                <w:rStyle w:val="BookTitle"/>
              </w:rPr>
            </w:pPr>
            <w:r w:rsidRPr="009B298A">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F8308B" w:rsidRPr="009B298A" w:rsidRDefault="00F8308B" w:rsidP="000349FF">
            <w:pPr>
              <w:jc w:val="center"/>
              <w:rPr>
                <w:rStyle w:val="BookTitle"/>
              </w:rPr>
            </w:pPr>
            <w:r w:rsidRPr="009B298A">
              <w:rPr>
                <w:rStyle w:val="BookTitle"/>
              </w:rPr>
              <w:t>Measures</w:t>
            </w:r>
          </w:p>
        </w:tc>
      </w:tr>
      <w:tr w:rsidR="00F8308B" w:rsidRPr="007C0549" w:rsidTr="00960D4B">
        <w:tc>
          <w:tcPr>
            <w:tcW w:w="738" w:type="dxa"/>
            <w:tcBorders>
              <w:top w:val="single" w:sz="12" w:space="0" w:color="17365D" w:themeColor="text2" w:themeShade="BF"/>
              <w:bottom w:val="single" w:sz="12" w:space="0" w:color="17365D" w:themeColor="text2" w:themeShade="BF"/>
            </w:tcBorders>
          </w:tcPr>
          <w:p w:rsidR="00F8308B" w:rsidRPr="009B298A" w:rsidRDefault="000349FF" w:rsidP="00960D4B">
            <w:r w:rsidRPr="009B298A">
              <w:rPr>
                <w:rFonts w:eastAsia="Times New Roman" w:cs="Arial"/>
                <w:szCs w:val="24"/>
              </w:rPr>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8308B" w:rsidRPr="009B298A" w:rsidRDefault="000349FF" w:rsidP="00960D4B">
            <w:r w:rsidRPr="009B298A">
              <w:rPr>
                <w:rFonts w:eastAsia="Times New Roman" w:cs="Arial"/>
                <w:szCs w:val="24"/>
              </w:rPr>
              <w:t xml:space="preserve">Comply with Florida Administrative Code Chapter 65D-30.007 and </w:t>
            </w:r>
            <w:r w:rsidRPr="009B298A">
              <w:rPr>
                <w:rFonts w:eastAsia="Times New Roman" w:cs="Arial"/>
                <w:szCs w:val="24"/>
              </w:rPr>
              <w:lastRenderedPageBreak/>
              <w:t>Chapter 397 of Florida Statutes.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8308B" w:rsidRPr="009B298A" w:rsidRDefault="000349FF" w:rsidP="00960D4B">
            <w:r w:rsidRPr="009B298A">
              <w:rPr>
                <w:rFonts w:eastAsia="Times New Roman" w:cs="Arial"/>
                <w:szCs w:val="24"/>
              </w:rPr>
              <w:lastRenderedPageBreak/>
              <w:t>1.1</w:t>
            </w:r>
          </w:p>
        </w:tc>
        <w:tc>
          <w:tcPr>
            <w:tcW w:w="3960" w:type="dxa"/>
            <w:tcBorders>
              <w:top w:val="single" w:sz="12" w:space="0" w:color="17365D" w:themeColor="text2" w:themeShade="BF"/>
              <w:bottom w:val="single" w:sz="12" w:space="0" w:color="17365D" w:themeColor="text2" w:themeShade="BF"/>
            </w:tcBorders>
          </w:tcPr>
          <w:p w:rsidR="000349FF" w:rsidRPr="009B298A" w:rsidRDefault="000349FF" w:rsidP="000349FF">
            <w:pPr>
              <w:autoSpaceDE w:val="0"/>
              <w:autoSpaceDN w:val="0"/>
              <w:adjustRightInd w:val="0"/>
              <w:rPr>
                <w:rFonts w:cs="Arial"/>
                <w:color w:val="000000"/>
                <w:szCs w:val="24"/>
              </w:rPr>
            </w:pPr>
            <w:r w:rsidRPr="009B298A">
              <w:rPr>
                <w:rFonts w:cs="Arial"/>
                <w:color w:val="000000"/>
                <w:szCs w:val="24"/>
              </w:rPr>
              <w:t>Current licensure displayed.</w:t>
            </w:r>
          </w:p>
          <w:p w:rsidR="000349FF" w:rsidRPr="009B298A" w:rsidRDefault="000349FF" w:rsidP="001B1B43">
            <w:pPr>
              <w:pStyle w:val="ListParagraph"/>
              <w:numPr>
                <w:ilvl w:val="0"/>
                <w:numId w:val="88"/>
              </w:numPr>
              <w:autoSpaceDE w:val="0"/>
              <w:autoSpaceDN w:val="0"/>
              <w:adjustRightInd w:val="0"/>
              <w:rPr>
                <w:rFonts w:cs="Arial"/>
                <w:color w:val="000000"/>
                <w:szCs w:val="24"/>
              </w:rPr>
            </w:pPr>
            <w:r w:rsidRPr="009B298A">
              <w:rPr>
                <w:rFonts w:cs="Arial"/>
                <w:color w:val="000000"/>
                <w:szCs w:val="24"/>
              </w:rPr>
              <w:t xml:space="preserve">Staff resume, license, and </w:t>
            </w:r>
            <w:r w:rsidRPr="009B298A">
              <w:rPr>
                <w:rFonts w:cs="Arial"/>
                <w:color w:val="000000"/>
                <w:szCs w:val="24"/>
              </w:rPr>
              <w:lastRenderedPageBreak/>
              <w:t xml:space="preserve">certifications on file </w:t>
            </w:r>
          </w:p>
          <w:p w:rsidR="00F8308B" w:rsidRPr="009B298A" w:rsidRDefault="00F8308B" w:rsidP="00960D4B"/>
        </w:tc>
      </w:tr>
      <w:tr w:rsidR="00F8308B" w:rsidRPr="007C0549" w:rsidTr="00960D4B">
        <w:tc>
          <w:tcPr>
            <w:tcW w:w="738" w:type="dxa"/>
            <w:tcBorders>
              <w:top w:val="single" w:sz="12" w:space="0" w:color="17365D" w:themeColor="text2" w:themeShade="BF"/>
              <w:bottom w:val="single" w:sz="12" w:space="0" w:color="17365D" w:themeColor="text2" w:themeShade="BF"/>
            </w:tcBorders>
          </w:tcPr>
          <w:p w:rsidR="00F8308B" w:rsidRPr="009B298A" w:rsidRDefault="000349FF" w:rsidP="00960D4B">
            <w:r w:rsidRPr="009B298A">
              <w:rPr>
                <w:rFonts w:eastAsia="Times New Roman" w:cs="Arial"/>
                <w:szCs w:val="24"/>
              </w:rPr>
              <w:lastRenderedPageBreak/>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349FF" w:rsidRPr="009B298A" w:rsidRDefault="000349FF" w:rsidP="000349FF">
            <w:pPr>
              <w:spacing w:after="120"/>
              <w:rPr>
                <w:rFonts w:eastAsia="Times New Roman" w:cs="Arial"/>
                <w:szCs w:val="24"/>
              </w:rPr>
            </w:pPr>
            <w:r w:rsidRPr="009B298A">
              <w:rPr>
                <w:rFonts w:eastAsia="Times New Roman" w:cs="Arial"/>
                <w:szCs w:val="24"/>
              </w:rPr>
              <w:t>Providers shall maintain awake, paid staff coverage 24 hours-per-day, 7 days per week.</w:t>
            </w:r>
          </w:p>
          <w:p w:rsidR="00F8308B" w:rsidRPr="009B298A" w:rsidRDefault="00F8308B" w:rsidP="00960D4B"/>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8308B" w:rsidRPr="009B298A" w:rsidRDefault="000349FF" w:rsidP="00960D4B">
            <w:r w:rsidRPr="009B298A">
              <w:rPr>
                <w:rFonts w:eastAsia="Times New Roman" w:cs="Arial"/>
                <w:szCs w:val="24"/>
              </w:rPr>
              <w:t>1.2</w:t>
            </w:r>
          </w:p>
        </w:tc>
        <w:tc>
          <w:tcPr>
            <w:tcW w:w="3960" w:type="dxa"/>
            <w:tcBorders>
              <w:top w:val="single" w:sz="12" w:space="0" w:color="17365D" w:themeColor="text2" w:themeShade="BF"/>
              <w:bottom w:val="single" w:sz="12" w:space="0" w:color="17365D" w:themeColor="text2" w:themeShade="BF"/>
            </w:tcBorders>
          </w:tcPr>
          <w:p w:rsidR="00F8308B" w:rsidRPr="009B298A" w:rsidRDefault="000349FF" w:rsidP="00960D4B">
            <w:pPr>
              <w:contextualSpacing/>
            </w:pPr>
            <w:r w:rsidRPr="009B298A">
              <w:rPr>
                <w:rFonts w:cs="Arial"/>
                <w:color w:val="000000"/>
                <w:szCs w:val="24"/>
              </w:rPr>
              <w:t>Staffing plan demonstrates the required staff coverage.</w:t>
            </w:r>
          </w:p>
        </w:tc>
      </w:tr>
      <w:tr w:rsidR="00F8308B" w:rsidRPr="007C0549" w:rsidTr="00960D4B">
        <w:tc>
          <w:tcPr>
            <w:tcW w:w="738" w:type="dxa"/>
            <w:tcBorders>
              <w:top w:val="single" w:sz="12" w:space="0" w:color="17365D" w:themeColor="text2" w:themeShade="BF"/>
              <w:bottom w:val="single" w:sz="12" w:space="0" w:color="17365D" w:themeColor="text2" w:themeShade="BF"/>
            </w:tcBorders>
          </w:tcPr>
          <w:p w:rsidR="00F8308B" w:rsidRPr="009B298A" w:rsidRDefault="000349FF" w:rsidP="00960D4B">
            <w:r w:rsidRPr="009B298A">
              <w:rPr>
                <w:rFonts w:eastAsia="Times New Roman" w:cs="Arial"/>
                <w:szCs w:val="24"/>
              </w:rPr>
              <w:t>1.3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8308B" w:rsidRPr="009B298A" w:rsidRDefault="000349FF" w:rsidP="00960D4B">
            <w:r w:rsidRPr="009B298A">
              <w:rPr>
                <w:rFonts w:eastAsia="Times New Roman" w:cs="Arial"/>
                <w:szCs w:val="24"/>
              </w:rPr>
              <w:t>No primary counselor shall have a caseload that exceeds 15 currently participating consumers.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8308B" w:rsidRPr="009B298A" w:rsidRDefault="000349FF" w:rsidP="00960D4B">
            <w:r w:rsidRPr="009B298A">
              <w:rPr>
                <w:rFonts w:eastAsia="Times New Roman" w:cs="Arial"/>
                <w:szCs w:val="24"/>
              </w:rPr>
              <w:t>1.3</w:t>
            </w:r>
          </w:p>
        </w:tc>
        <w:tc>
          <w:tcPr>
            <w:tcW w:w="3960" w:type="dxa"/>
            <w:tcBorders>
              <w:top w:val="single" w:sz="12" w:space="0" w:color="17365D" w:themeColor="text2" w:themeShade="BF"/>
              <w:bottom w:val="single" w:sz="12" w:space="0" w:color="17365D" w:themeColor="text2" w:themeShade="BF"/>
            </w:tcBorders>
          </w:tcPr>
          <w:p w:rsidR="00F8308B" w:rsidRPr="009B298A" w:rsidRDefault="000349FF" w:rsidP="00960D4B">
            <w:r w:rsidRPr="009B298A">
              <w:rPr>
                <w:rFonts w:cs="Arial"/>
                <w:color w:val="000000"/>
                <w:szCs w:val="24"/>
              </w:rPr>
              <w:t>Caseloads reflect the requirement.</w:t>
            </w:r>
          </w:p>
        </w:tc>
      </w:tr>
    </w:tbl>
    <w:p w:rsidR="000349FF" w:rsidRDefault="000349FF" w:rsidP="00F8308B">
      <w:pPr>
        <w:spacing w:after="0" w:line="240" w:lineRule="auto"/>
        <w:ind w:left="1080" w:hanging="360"/>
        <w:jc w:val="both"/>
        <w:rPr>
          <w:rFonts w:ascii="Arial" w:eastAsia="Times New Roman" w:hAnsi="Arial" w:cs="Arial"/>
          <w:sz w:val="24"/>
          <w:szCs w:val="24"/>
        </w:rPr>
      </w:pPr>
    </w:p>
    <w:p w:rsidR="000349FF" w:rsidRDefault="000349FF" w:rsidP="00F8308B">
      <w:pPr>
        <w:spacing w:after="0" w:line="240" w:lineRule="auto"/>
        <w:ind w:left="1080" w:hanging="360"/>
        <w:jc w:val="both"/>
        <w:rPr>
          <w:rFonts w:ascii="Arial" w:eastAsia="Times New Roman" w:hAnsi="Arial" w:cs="Arial"/>
          <w:sz w:val="24"/>
          <w:szCs w:val="24"/>
        </w:rPr>
      </w:pPr>
    </w:p>
    <w:tbl>
      <w:tblPr>
        <w:tblStyle w:val="TableGrid18"/>
        <w:tblW w:w="0" w:type="auto"/>
        <w:tblLook w:val="04A0" w:firstRow="1" w:lastRow="0" w:firstColumn="1" w:lastColumn="0" w:noHBand="0" w:noVBand="1"/>
      </w:tblPr>
      <w:tblGrid>
        <w:gridCol w:w="9576"/>
      </w:tblGrid>
      <w:tr w:rsidR="000349FF" w:rsidRPr="007C0549" w:rsidTr="00960D4B">
        <w:tc>
          <w:tcPr>
            <w:tcW w:w="9576" w:type="dxa"/>
            <w:tcBorders>
              <w:top w:val="single" w:sz="12" w:space="0" w:color="17365D" w:themeColor="text2" w:themeShade="BF"/>
              <w:left w:val="nil"/>
              <w:bottom w:val="single" w:sz="12" w:space="0" w:color="17365D" w:themeColor="text2" w:themeShade="BF"/>
              <w:right w:val="nil"/>
            </w:tcBorders>
          </w:tcPr>
          <w:p w:rsidR="000349FF" w:rsidRPr="00F8308B" w:rsidRDefault="000349FF" w:rsidP="00960D4B">
            <w:pPr>
              <w:pStyle w:val="Heading3"/>
              <w:spacing w:before="0"/>
              <w:outlineLvl w:val="2"/>
            </w:pPr>
            <w:bookmarkStart w:id="97" w:name="_Toc489280928"/>
            <w:r w:rsidRPr="000349FF">
              <w:rPr>
                <w:sz w:val="28"/>
              </w:rPr>
              <w:t>2.0</w:t>
            </w:r>
            <w:r w:rsidR="00960D4B">
              <w:rPr>
                <w:sz w:val="28"/>
              </w:rPr>
              <w:t xml:space="preserve"> </w:t>
            </w:r>
            <w:r w:rsidRPr="000349FF">
              <w:rPr>
                <w:sz w:val="28"/>
              </w:rPr>
              <w:t>Scope of Service</w:t>
            </w:r>
            <w:bookmarkEnd w:id="97"/>
          </w:p>
        </w:tc>
      </w:tr>
    </w:tbl>
    <w:p w:rsidR="000349FF" w:rsidRDefault="000349FF" w:rsidP="00F8308B">
      <w:pPr>
        <w:spacing w:after="0" w:line="240" w:lineRule="auto"/>
        <w:ind w:left="1080" w:hanging="360"/>
        <w:jc w:val="both"/>
        <w:rPr>
          <w:rFonts w:ascii="Arial" w:eastAsia="Times New Roman" w:hAnsi="Arial" w:cs="Arial"/>
          <w:sz w:val="24"/>
          <w:szCs w:val="24"/>
        </w:rPr>
      </w:pPr>
    </w:p>
    <w:tbl>
      <w:tblPr>
        <w:tblW w:w="9659" w:type="dxa"/>
        <w:tblInd w:w="-72" w:type="dxa"/>
        <w:tblLook w:val="04A0" w:firstRow="1" w:lastRow="0" w:firstColumn="1" w:lastColumn="0" w:noHBand="0" w:noVBand="1"/>
      </w:tblPr>
      <w:tblGrid>
        <w:gridCol w:w="9659"/>
      </w:tblGrid>
      <w:tr w:rsidR="00F8308B" w:rsidRPr="00F8308B" w:rsidTr="008579C9">
        <w:trPr>
          <w:trHeight w:val="567"/>
        </w:trPr>
        <w:tc>
          <w:tcPr>
            <w:tcW w:w="9659" w:type="dxa"/>
            <w:shd w:val="clear" w:color="auto" w:fill="auto"/>
          </w:tcPr>
          <w:p w:rsidR="000349FF" w:rsidRPr="00F8308B" w:rsidRDefault="00F8308B" w:rsidP="00C47DFE">
            <w:pPr>
              <w:spacing w:after="0" w:line="240" w:lineRule="auto"/>
              <w:jc w:val="both"/>
              <w:rPr>
                <w:rFonts w:ascii="Arial" w:eastAsia="Times New Roman" w:hAnsi="Arial" w:cs="Arial"/>
                <w:sz w:val="24"/>
                <w:szCs w:val="24"/>
              </w:rPr>
            </w:pPr>
            <w:r w:rsidRPr="00F8308B">
              <w:rPr>
                <w:rFonts w:ascii="Arial" w:eastAsia="Times New Roman" w:hAnsi="Arial" w:cs="Arial"/>
                <w:sz w:val="24"/>
                <w:szCs w:val="24"/>
              </w:rPr>
              <w:t>Agencies shall comply with all of the requirements outlined in this Standard of Care, unless otherwi</w:t>
            </w:r>
            <w:r w:rsidR="00C47DFE">
              <w:rPr>
                <w:rFonts w:ascii="Arial" w:eastAsia="Times New Roman" w:hAnsi="Arial" w:cs="Arial"/>
                <w:sz w:val="24"/>
                <w:szCs w:val="24"/>
              </w:rPr>
              <w:t>se specified in their contract.</w:t>
            </w:r>
          </w:p>
        </w:tc>
      </w:tr>
    </w:tbl>
    <w:p w:rsidR="00F8308B" w:rsidRDefault="00F8308B" w:rsidP="00F8308B">
      <w:pPr>
        <w:spacing w:after="0" w:line="240" w:lineRule="auto"/>
        <w:ind w:left="1080" w:hanging="360"/>
        <w:jc w:val="both"/>
        <w:rPr>
          <w:rFonts w:ascii="Arial" w:eastAsia="Times New Roman" w:hAnsi="Arial" w:cs="Arial"/>
          <w:sz w:val="24"/>
          <w:szCs w:val="24"/>
        </w:rPr>
      </w:pPr>
    </w:p>
    <w:tbl>
      <w:tblPr>
        <w:tblW w:w="95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C47DFE" w:rsidRPr="00743AAE" w:rsidTr="00C47DFE">
        <w:trPr>
          <w:trHeight w:val="403"/>
        </w:trPr>
        <w:tc>
          <w:tcPr>
            <w:tcW w:w="9548" w:type="dxa"/>
            <w:shd w:val="clear" w:color="auto" w:fill="002060"/>
          </w:tcPr>
          <w:p w:rsidR="00C47DFE" w:rsidRPr="00743AAE" w:rsidRDefault="00C47DFE" w:rsidP="005266B8">
            <w:pPr>
              <w:pStyle w:val="Heading4"/>
              <w:spacing w:before="0"/>
              <w:rPr>
                <w:sz w:val="24"/>
              </w:rPr>
            </w:pPr>
            <w:r w:rsidRPr="00960D4B">
              <w:rPr>
                <w:color w:val="FFFFFF" w:themeColor="background1"/>
                <w:sz w:val="28"/>
                <w:szCs w:val="28"/>
              </w:rPr>
              <w:t>2.0</w:t>
            </w:r>
            <w:r w:rsidRPr="00960D4B">
              <w:rPr>
                <w:color w:val="FFFFFF" w:themeColor="background1"/>
                <w:sz w:val="28"/>
              </w:rPr>
              <w:t xml:space="preserve">   Scope of Service</w:t>
            </w:r>
          </w:p>
        </w:tc>
      </w:tr>
    </w:tbl>
    <w:p w:rsidR="00C47DFE" w:rsidRDefault="00C47DFE" w:rsidP="00F8308B">
      <w:pPr>
        <w:spacing w:after="0" w:line="240" w:lineRule="auto"/>
        <w:ind w:left="1080" w:hanging="360"/>
        <w:jc w:val="both"/>
        <w:rPr>
          <w:rFonts w:ascii="Arial" w:eastAsia="Times New Roman" w:hAnsi="Arial" w:cs="Arial"/>
          <w:sz w:val="24"/>
          <w:szCs w:val="24"/>
        </w:rPr>
      </w:pPr>
    </w:p>
    <w:tbl>
      <w:tblPr>
        <w:tblStyle w:val="TableGrid1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0349FF" w:rsidRPr="00F8308B" w:rsidTr="00960D4B">
        <w:tc>
          <w:tcPr>
            <w:tcW w:w="4896" w:type="dxa"/>
            <w:gridSpan w:val="2"/>
            <w:tcBorders>
              <w:bottom w:val="single" w:sz="12" w:space="0" w:color="17365D" w:themeColor="text2" w:themeShade="BF"/>
              <w:right w:val="single" w:sz="12" w:space="0" w:color="17365D" w:themeColor="text2" w:themeShade="BF"/>
            </w:tcBorders>
            <w:vAlign w:val="center"/>
          </w:tcPr>
          <w:p w:rsidR="000349FF" w:rsidRPr="009B298A" w:rsidRDefault="000349FF" w:rsidP="00960D4B">
            <w:pPr>
              <w:jc w:val="center"/>
              <w:rPr>
                <w:rStyle w:val="BookTitle"/>
              </w:rPr>
            </w:pPr>
            <w:r w:rsidRPr="009B298A">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0349FF" w:rsidRPr="009B298A" w:rsidRDefault="000349FF" w:rsidP="00960D4B">
            <w:pPr>
              <w:jc w:val="center"/>
              <w:rPr>
                <w:rStyle w:val="BookTitle"/>
              </w:rPr>
            </w:pPr>
            <w:r w:rsidRPr="009B298A">
              <w:rPr>
                <w:rStyle w:val="BookTitle"/>
              </w:rPr>
              <w:t>Measures</w:t>
            </w:r>
          </w:p>
        </w:tc>
      </w:tr>
      <w:tr w:rsidR="000349FF" w:rsidRPr="00F8308B" w:rsidTr="00960D4B">
        <w:tc>
          <w:tcPr>
            <w:tcW w:w="738" w:type="dxa"/>
            <w:tcBorders>
              <w:top w:val="single" w:sz="12" w:space="0" w:color="17365D" w:themeColor="text2" w:themeShade="BF"/>
              <w:bottom w:val="single" w:sz="12" w:space="0" w:color="17365D" w:themeColor="text2" w:themeShade="BF"/>
            </w:tcBorders>
          </w:tcPr>
          <w:p w:rsidR="000349FF" w:rsidRPr="009B298A" w:rsidRDefault="000349FF" w:rsidP="00960D4B">
            <w:pPr>
              <w:rPr>
                <w:szCs w:val="22"/>
              </w:rPr>
            </w:pPr>
            <w:r w:rsidRPr="009B298A">
              <w:rPr>
                <w:rFonts w:eastAsia="Times New Roman" w:cs="Arial"/>
                <w:szCs w:val="22"/>
              </w:rPr>
              <w:t>2.1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349FF" w:rsidRPr="009B298A" w:rsidRDefault="000349FF" w:rsidP="000349FF">
            <w:pPr>
              <w:spacing w:after="120"/>
              <w:ind w:left="18"/>
              <w:rPr>
                <w:rFonts w:eastAsia="Times New Roman" w:cs="Arial"/>
                <w:szCs w:val="22"/>
              </w:rPr>
            </w:pPr>
            <w:r w:rsidRPr="009B298A">
              <w:rPr>
                <w:rFonts w:eastAsia="Times New Roman" w:cs="Arial"/>
                <w:szCs w:val="22"/>
              </w:rPr>
              <w:t>There shall be three levels of residential treatment. In each level, treatment shall be structured to serve consumers who need a safe and stable living environment in order to develop sufficient recovery skills for the transition to a less restrictive level of care or reintegration into the general community in accordance with placement criteria. Treatment shall also include a schedule of services provided within a positive environment that reinforce the consumer’s recovery, and consumers shall be placed in a level of residential treatment that is based upon their treatment needs and circumstances.</w:t>
            </w:r>
          </w:p>
          <w:p w:rsidR="000349FF" w:rsidRPr="009B298A" w:rsidRDefault="000349FF" w:rsidP="001B1B43">
            <w:pPr>
              <w:widowControl w:val="0"/>
              <w:numPr>
                <w:ilvl w:val="0"/>
                <w:numId w:val="29"/>
              </w:numPr>
              <w:spacing w:after="120"/>
              <w:rPr>
                <w:rFonts w:cs="Arial"/>
                <w:b/>
                <w:szCs w:val="22"/>
              </w:rPr>
            </w:pPr>
            <w:r w:rsidRPr="009B298A">
              <w:rPr>
                <w:rFonts w:cs="Arial"/>
                <w:b/>
                <w:szCs w:val="22"/>
              </w:rPr>
              <w:t>Level 1</w:t>
            </w:r>
            <w:r w:rsidRPr="009B298A">
              <w:rPr>
                <w:rFonts w:cs="Arial"/>
                <w:szCs w:val="22"/>
              </w:rPr>
              <w:t xml:space="preserve"> – Therapeutic Communities (TC) or some variation of TC and length of stays (LOS) are shorter in term than level 2. This level is appropriate for persons characterized as having </w:t>
            </w:r>
            <w:r w:rsidRPr="009B298A">
              <w:rPr>
                <w:rFonts w:cs="Arial"/>
                <w:szCs w:val="22"/>
              </w:rPr>
              <w:lastRenderedPageBreak/>
              <w:t>chaotic and often abusive interpersonal relationships, extensive criminal justice histories, and prior treatment episodes in less restrictive levels of care, inconsistent work histories and educational experiences, and anti-social behavior. In addition to clinical services, considerable emphasis shall be placed on services that address the consumer’s educational and vocational needs, socially dysfunctional behavior, and need for stable housing upon discharge. It shall also include services that assist the consumer in remaining abstinent upon returning to the community.</w:t>
            </w:r>
          </w:p>
          <w:p w:rsidR="000349FF" w:rsidRPr="009B298A" w:rsidRDefault="000349FF" w:rsidP="001B1B43">
            <w:pPr>
              <w:widowControl w:val="0"/>
              <w:numPr>
                <w:ilvl w:val="0"/>
                <w:numId w:val="29"/>
              </w:numPr>
              <w:spacing w:after="120"/>
              <w:rPr>
                <w:rFonts w:cs="Arial"/>
                <w:b/>
                <w:szCs w:val="22"/>
              </w:rPr>
            </w:pPr>
            <w:r w:rsidRPr="009B298A">
              <w:rPr>
                <w:rFonts w:cs="Arial"/>
                <w:b/>
                <w:szCs w:val="22"/>
              </w:rPr>
              <w:t xml:space="preserve">Level 2 – </w:t>
            </w:r>
            <w:r w:rsidRPr="009B298A">
              <w:rPr>
                <w:rFonts w:cs="Arial"/>
                <w:szCs w:val="22"/>
              </w:rPr>
              <w:t xml:space="preserve">Domiciliary Care (DC). LOS </w:t>
            </w:r>
            <w:r w:rsidR="00C47DFE" w:rsidRPr="009B298A">
              <w:rPr>
                <w:rFonts w:cs="Arial"/>
                <w:szCs w:val="22"/>
              </w:rPr>
              <w:t>is</w:t>
            </w:r>
            <w:r w:rsidRPr="009B298A">
              <w:rPr>
                <w:rFonts w:cs="Arial"/>
                <w:szCs w:val="22"/>
              </w:rPr>
              <w:t xml:space="preserve"> generally longer term than Level 1. This level is appropriate for persons whose cognitive functioning has been severely impaired from the chronic use of substances, either temporarily or permanently. This would include persons with varying degrees of organic brain disorder or brain injury or other problem that require extended care. The emphasis shall be on providing services that work on cognitive problems and activities of daily living, socialization, and specific skills to restore and maintain independent living. The services are typically slower paced, more concrete and repetitive. There shall be considerable emphasis on relapse prevention and reintegration into the </w:t>
            </w:r>
            <w:r w:rsidRPr="009B298A">
              <w:rPr>
                <w:rFonts w:cs="Arial"/>
                <w:szCs w:val="22"/>
              </w:rPr>
              <w:lastRenderedPageBreak/>
              <w:t>community. This shall involve considerable use of case management and networking residents into ancillary or wrap-around services such as housing, vocational services, transportation, and self-help meetings.</w:t>
            </w:r>
            <w:r w:rsidRPr="009B298A">
              <w:rPr>
                <w:rFonts w:cs="Arial"/>
                <w:b/>
                <w:szCs w:val="22"/>
              </w:rPr>
              <w:t xml:space="preserve"> </w:t>
            </w:r>
          </w:p>
          <w:p w:rsidR="000349FF" w:rsidRPr="009B298A" w:rsidRDefault="000349FF" w:rsidP="001B1B43">
            <w:pPr>
              <w:widowControl w:val="0"/>
              <w:numPr>
                <w:ilvl w:val="0"/>
                <w:numId w:val="29"/>
              </w:numPr>
              <w:spacing w:after="120"/>
              <w:rPr>
                <w:rFonts w:cs="Arial"/>
                <w:b/>
                <w:szCs w:val="22"/>
              </w:rPr>
            </w:pPr>
            <w:r w:rsidRPr="009B298A">
              <w:rPr>
                <w:rFonts w:cs="Arial"/>
                <w:b/>
                <w:szCs w:val="22"/>
              </w:rPr>
              <w:t xml:space="preserve">Level 3 – </w:t>
            </w:r>
            <w:r w:rsidRPr="009B298A">
              <w:rPr>
                <w:rFonts w:cs="Arial"/>
                <w:szCs w:val="22"/>
              </w:rPr>
              <w:t>Transitional Care and LOS are generally short-term. This level is appropriate for consumers who have completed levels 1 or 2. This includes consumers who have demonstrated problems in applying recovery skills, a lack of personal responsibility, or a lack of connection to the world of work, education or family life. Although clinical services shall be provided, the main emphasis shall be on services that are low-intensity and typically emphasize a supportive environment. This would include services that focus on recovery skills, preventing relapse, improving emotional functioning, promoting personal responsibility and reintegrating the individual into the world of work, education and family life.</w:t>
            </w:r>
          </w:p>
          <w:p w:rsidR="000349FF" w:rsidRPr="009B298A" w:rsidRDefault="000349FF" w:rsidP="00960D4B">
            <w:pPr>
              <w:rPr>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349FF" w:rsidRPr="009B298A" w:rsidRDefault="000349FF" w:rsidP="00960D4B">
            <w:pPr>
              <w:rPr>
                <w:szCs w:val="22"/>
              </w:rPr>
            </w:pPr>
            <w:r w:rsidRPr="009B298A">
              <w:rPr>
                <w:rFonts w:eastAsia="Times New Roman" w:cs="Arial"/>
                <w:szCs w:val="22"/>
              </w:rPr>
              <w:lastRenderedPageBreak/>
              <w:t>2.1</w:t>
            </w:r>
          </w:p>
        </w:tc>
        <w:tc>
          <w:tcPr>
            <w:tcW w:w="3960" w:type="dxa"/>
            <w:tcBorders>
              <w:top w:val="single" w:sz="12" w:space="0" w:color="17365D" w:themeColor="text2" w:themeShade="BF"/>
              <w:bottom w:val="single" w:sz="12" w:space="0" w:color="17365D" w:themeColor="text2" w:themeShade="BF"/>
            </w:tcBorders>
          </w:tcPr>
          <w:p w:rsidR="000349FF" w:rsidRPr="009B298A" w:rsidRDefault="000349FF" w:rsidP="000349FF">
            <w:pPr>
              <w:rPr>
                <w:rFonts w:eastAsia="Times New Roman" w:cs="Arial"/>
                <w:szCs w:val="22"/>
              </w:rPr>
            </w:pPr>
            <w:r w:rsidRPr="009B298A">
              <w:rPr>
                <w:rFonts w:eastAsia="Times New Roman" w:cs="Arial"/>
                <w:szCs w:val="22"/>
              </w:rPr>
              <w:t xml:space="preserve">Placement criteria reflect the required levels of residential treatment. </w:t>
            </w:r>
          </w:p>
          <w:p w:rsidR="000349FF" w:rsidRPr="009B298A" w:rsidRDefault="000349FF" w:rsidP="000349FF">
            <w:pPr>
              <w:rPr>
                <w:rFonts w:eastAsia="Times New Roman" w:cs="Arial"/>
                <w:szCs w:val="22"/>
              </w:rPr>
            </w:pPr>
          </w:p>
          <w:p w:rsidR="000349FF" w:rsidRPr="009B298A" w:rsidRDefault="000349FF" w:rsidP="000349FF">
            <w:pPr>
              <w:rPr>
                <w:szCs w:val="22"/>
              </w:rPr>
            </w:pPr>
            <w:r w:rsidRPr="009B298A">
              <w:rPr>
                <w:rFonts w:eastAsia="Times New Roman" w:cs="Arial"/>
                <w:szCs w:val="22"/>
              </w:rPr>
              <w:t>Assessment and treatment plan reflects the appropriate level of care.</w:t>
            </w:r>
          </w:p>
        </w:tc>
      </w:tr>
      <w:tr w:rsidR="000349FF" w:rsidRPr="00F8308B" w:rsidTr="00960D4B">
        <w:tc>
          <w:tcPr>
            <w:tcW w:w="738" w:type="dxa"/>
            <w:tcBorders>
              <w:top w:val="single" w:sz="12" w:space="0" w:color="17365D" w:themeColor="text2" w:themeShade="BF"/>
              <w:bottom w:val="single" w:sz="12" w:space="0" w:color="17365D" w:themeColor="text2" w:themeShade="BF"/>
            </w:tcBorders>
          </w:tcPr>
          <w:p w:rsidR="000349FF" w:rsidRPr="009B298A" w:rsidRDefault="000349FF" w:rsidP="00960D4B">
            <w:pPr>
              <w:rPr>
                <w:szCs w:val="22"/>
              </w:rPr>
            </w:pPr>
            <w:r w:rsidRPr="009B298A">
              <w:rPr>
                <w:rFonts w:eastAsia="Times New Roman" w:cs="Arial"/>
                <w:szCs w:val="22"/>
              </w:rPr>
              <w:lastRenderedPageBreak/>
              <w:t>2.2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349FF" w:rsidRPr="009B298A" w:rsidRDefault="000349FF" w:rsidP="000349FF">
            <w:pPr>
              <w:autoSpaceDE w:val="0"/>
              <w:autoSpaceDN w:val="0"/>
              <w:adjustRightInd w:val="0"/>
              <w:spacing w:after="120"/>
              <w:rPr>
                <w:rFonts w:cs="Arial"/>
                <w:color w:val="000000"/>
                <w:szCs w:val="22"/>
              </w:rPr>
            </w:pPr>
            <w:r w:rsidRPr="009B298A">
              <w:rPr>
                <w:rFonts w:cs="Arial"/>
                <w:color w:val="000000"/>
                <w:szCs w:val="22"/>
              </w:rPr>
              <w:t>Each consumer shall receive services each week. The services shall include a specified number of hours of counseling as provided for below:</w:t>
            </w:r>
          </w:p>
          <w:p w:rsidR="000349FF" w:rsidRPr="009B298A" w:rsidRDefault="000349FF" w:rsidP="001B1B43">
            <w:pPr>
              <w:numPr>
                <w:ilvl w:val="0"/>
                <w:numId w:val="28"/>
              </w:numPr>
              <w:autoSpaceDE w:val="0"/>
              <w:autoSpaceDN w:val="0"/>
              <w:adjustRightInd w:val="0"/>
              <w:spacing w:after="120"/>
              <w:rPr>
                <w:rFonts w:cs="Arial"/>
                <w:color w:val="000000"/>
                <w:szCs w:val="22"/>
              </w:rPr>
            </w:pPr>
            <w:r w:rsidRPr="009B298A">
              <w:rPr>
                <w:rFonts w:cs="Arial"/>
                <w:color w:val="000000"/>
                <w:szCs w:val="22"/>
              </w:rPr>
              <w:t>Level 1- each client shall receive services in accordance with subsection 65D-30.007(3), F.A.C, including at least 10 hours of counseling;</w:t>
            </w:r>
          </w:p>
          <w:p w:rsidR="000349FF" w:rsidRPr="009B298A" w:rsidRDefault="000349FF" w:rsidP="001B1B43">
            <w:pPr>
              <w:numPr>
                <w:ilvl w:val="0"/>
                <w:numId w:val="28"/>
              </w:numPr>
              <w:autoSpaceDE w:val="0"/>
              <w:autoSpaceDN w:val="0"/>
              <w:adjustRightInd w:val="0"/>
              <w:spacing w:after="120"/>
              <w:rPr>
                <w:rFonts w:cs="Arial"/>
                <w:color w:val="000000"/>
                <w:szCs w:val="22"/>
              </w:rPr>
            </w:pPr>
            <w:r w:rsidRPr="009B298A">
              <w:rPr>
                <w:rFonts w:cs="Arial"/>
                <w:color w:val="000000"/>
                <w:szCs w:val="22"/>
              </w:rPr>
              <w:lastRenderedPageBreak/>
              <w:t>Level 2 - each client shall receive services in accordance with subsection 65D-30.007(3), F.A.C, including at least 4 hours of counseling; and,</w:t>
            </w:r>
          </w:p>
          <w:p w:rsidR="000349FF" w:rsidRPr="009B298A" w:rsidRDefault="000349FF" w:rsidP="001B1B43">
            <w:pPr>
              <w:numPr>
                <w:ilvl w:val="0"/>
                <w:numId w:val="28"/>
              </w:numPr>
              <w:autoSpaceDE w:val="0"/>
              <w:autoSpaceDN w:val="0"/>
              <w:adjustRightInd w:val="0"/>
              <w:spacing w:after="120"/>
              <w:rPr>
                <w:rFonts w:cs="Arial"/>
                <w:color w:val="000000"/>
                <w:szCs w:val="22"/>
              </w:rPr>
            </w:pPr>
            <w:r w:rsidRPr="009B298A">
              <w:rPr>
                <w:rFonts w:cs="Arial"/>
                <w:color w:val="000000"/>
                <w:szCs w:val="22"/>
              </w:rPr>
              <w:t>Level 3 - each client shall receive services in accordance with subsection 65D-30.007(3), F.A.C, including at least 2 hours of counseling.</w:t>
            </w:r>
          </w:p>
          <w:p w:rsidR="000349FF" w:rsidRPr="009B298A" w:rsidRDefault="000349FF" w:rsidP="00960D4B">
            <w:pPr>
              <w:rPr>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349FF" w:rsidRPr="009B298A" w:rsidRDefault="000349FF" w:rsidP="00960D4B">
            <w:pPr>
              <w:rPr>
                <w:rFonts w:eastAsia="Times New Roman" w:cs="Arial"/>
                <w:szCs w:val="22"/>
              </w:rPr>
            </w:pPr>
            <w:r w:rsidRPr="009B298A">
              <w:rPr>
                <w:rFonts w:eastAsia="Times New Roman" w:cs="Arial"/>
                <w:szCs w:val="22"/>
              </w:rPr>
              <w:lastRenderedPageBreak/>
              <w:t>2.2</w:t>
            </w:r>
          </w:p>
        </w:tc>
        <w:tc>
          <w:tcPr>
            <w:tcW w:w="3960" w:type="dxa"/>
            <w:tcBorders>
              <w:top w:val="single" w:sz="12" w:space="0" w:color="17365D" w:themeColor="text2" w:themeShade="BF"/>
              <w:bottom w:val="single" w:sz="12" w:space="0" w:color="17365D" w:themeColor="text2" w:themeShade="BF"/>
            </w:tcBorders>
          </w:tcPr>
          <w:p w:rsidR="000349FF" w:rsidRPr="009B298A" w:rsidRDefault="000349FF" w:rsidP="000349FF">
            <w:pPr>
              <w:autoSpaceDE w:val="0"/>
              <w:autoSpaceDN w:val="0"/>
              <w:adjustRightInd w:val="0"/>
              <w:rPr>
                <w:rFonts w:cs="Arial"/>
                <w:color w:val="000000"/>
                <w:szCs w:val="22"/>
              </w:rPr>
            </w:pPr>
            <w:r w:rsidRPr="009B298A">
              <w:rPr>
                <w:rFonts w:cs="Arial"/>
                <w:color w:val="000000"/>
                <w:szCs w:val="22"/>
              </w:rPr>
              <w:t xml:space="preserve">Documentation in consumer clinical record reflects the specified services in accordance with the needs of the consumer as identified in the treatment plan. </w:t>
            </w:r>
          </w:p>
          <w:p w:rsidR="000349FF" w:rsidRPr="009B298A" w:rsidRDefault="000349FF" w:rsidP="00960D4B">
            <w:pPr>
              <w:contextualSpacing/>
              <w:rPr>
                <w:szCs w:val="22"/>
              </w:rPr>
            </w:pPr>
          </w:p>
        </w:tc>
      </w:tr>
      <w:tr w:rsidR="000349FF" w:rsidRPr="00F8308B" w:rsidTr="00960D4B">
        <w:tc>
          <w:tcPr>
            <w:tcW w:w="738" w:type="dxa"/>
            <w:tcBorders>
              <w:top w:val="single" w:sz="12" w:space="0" w:color="17365D" w:themeColor="text2" w:themeShade="BF"/>
              <w:bottom w:val="single" w:sz="12" w:space="0" w:color="17365D" w:themeColor="text2" w:themeShade="BF"/>
            </w:tcBorders>
          </w:tcPr>
          <w:p w:rsidR="000349FF" w:rsidRPr="009B298A" w:rsidRDefault="000349FF" w:rsidP="00960D4B">
            <w:pPr>
              <w:rPr>
                <w:szCs w:val="22"/>
              </w:rPr>
            </w:pPr>
            <w:r w:rsidRPr="009B298A">
              <w:rPr>
                <w:rFonts w:eastAsia="Times New Roman" w:cs="Arial"/>
                <w:szCs w:val="22"/>
              </w:rPr>
              <w:lastRenderedPageBreak/>
              <w:t>2.3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349FF" w:rsidRPr="009B298A" w:rsidRDefault="000349FF" w:rsidP="000349FF">
            <w:pPr>
              <w:autoSpaceDE w:val="0"/>
              <w:autoSpaceDN w:val="0"/>
              <w:adjustRightInd w:val="0"/>
              <w:rPr>
                <w:rFonts w:cs="Arial"/>
                <w:color w:val="000000"/>
                <w:szCs w:val="22"/>
              </w:rPr>
            </w:pPr>
            <w:r w:rsidRPr="009B298A">
              <w:rPr>
                <w:rFonts w:cs="Arial"/>
                <w:color w:val="000000"/>
                <w:szCs w:val="22"/>
              </w:rPr>
              <w:t>With the exception of counseling, it is not intended that all services listed below be provided. However, services shall be provided in accordance with the needs of the consumer as identified in the treatment plan as follows:</w:t>
            </w:r>
          </w:p>
          <w:p w:rsidR="000349FF" w:rsidRPr="009B298A" w:rsidRDefault="000349FF" w:rsidP="001B1B43">
            <w:pPr>
              <w:pStyle w:val="ListParagraph"/>
              <w:numPr>
                <w:ilvl w:val="0"/>
                <w:numId w:val="89"/>
              </w:numPr>
              <w:autoSpaceDE w:val="0"/>
              <w:autoSpaceDN w:val="0"/>
              <w:adjustRightInd w:val="0"/>
              <w:rPr>
                <w:rFonts w:eastAsia="Times New Roman" w:cs="Arial"/>
                <w:color w:val="000000"/>
                <w:szCs w:val="22"/>
              </w:rPr>
            </w:pPr>
            <w:r w:rsidRPr="009B298A">
              <w:rPr>
                <w:rFonts w:cs="Arial"/>
                <w:color w:val="000000"/>
                <w:szCs w:val="22"/>
              </w:rPr>
              <w:t>Individual counseling;</w:t>
            </w:r>
          </w:p>
          <w:p w:rsidR="000349FF" w:rsidRPr="009B298A" w:rsidRDefault="000349FF" w:rsidP="001B1B43">
            <w:pPr>
              <w:pStyle w:val="ListParagraph"/>
              <w:numPr>
                <w:ilvl w:val="0"/>
                <w:numId w:val="89"/>
              </w:numPr>
              <w:autoSpaceDE w:val="0"/>
              <w:autoSpaceDN w:val="0"/>
              <w:adjustRightInd w:val="0"/>
              <w:rPr>
                <w:rFonts w:eastAsia="Times New Roman" w:cs="Arial"/>
                <w:color w:val="000000"/>
                <w:szCs w:val="22"/>
              </w:rPr>
            </w:pPr>
            <w:r w:rsidRPr="009B298A">
              <w:rPr>
                <w:rFonts w:cs="Arial"/>
                <w:color w:val="000000"/>
                <w:szCs w:val="22"/>
              </w:rPr>
              <w:t>Group counseling;</w:t>
            </w:r>
          </w:p>
          <w:p w:rsidR="000349FF" w:rsidRPr="009B298A" w:rsidRDefault="000349FF" w:rsidP="001B1B43">
            <w:pPr>
              <w:pStyle w:val="ListParagraph"/>
              <w:numPr>
                <w:ilvl w:val="0"/>
                <w:numId w:val="89"/>
              </w:numPr>
              <w:autoSpaceDE w:val="0"/>
              <w:autoSpaceDN w:val="0"/>
              <w:adjustRightInd w:val="0"/>
              <w:rPr>
                <w:rFonts w:eastAsia="Times New Roman" w:cs="Arial"/>
                <w:color w:val="000000"/>
                <w:szCs w:val="22"/>
              </w:rPr>
            </w:pPr>
            <w:r w:rsidRPr="009B298A">
              <w:rPr>
                <w:rFonts w:cs="Arial"/>
                <w:color w:val="000000"/>
                <w:szCs w:val="22"/>
              </w:rPr>
              <w:t>Counseling with families;</w:t>
            </w:r>
          </w:p>
          <w:p w:rsidR="000349FF" w:rsidRPr="009B298A" w:rsidRDefault="000349FF" w:rsidP="001B1B43">
            <w:pPr>
              <w:pStyle w:val="ListParagraph"/>
              <w:numPr>
                <w:ilvl w:val="0"/>
                <w:numId w:val="89"/>
              </w:numPr>
              <w:autoSpaceDE w:val="0"/>
              <w:autoSpaceDN w:val="0"/>
              <w:adjustRightInd w:val="0"/>
              <w:rPr>
                <w:rFonts w:eastAsia="Times New Roman" w:cs="Arial"/>
                <w:color w:val="000000"/>
                <w:szCs w:val="22"/>
              </w:rPr>
            </w:pPr>
            <w:r w:rsidRPr="009B298A">
              <w:rPr>
                <w:rFonts w:cs="Arial"/>
                <w:color w:val="000000"/>
                <w:szCs w:val="22"/>
              </w:rPr>
              <w:t>Substance abuse education, such as strategies for avoiding substance abuse or relapse, health problems related to substance abuse, and motivational enhancement and strategies for achieving a substance-free lifestyle;</w:t>
            </w:r>
          </w:p>
          <w:p w:rsidR="000349FF" w:rsidRPr="009B298A" w:rsidRDefault="000349FF" w:rsidP="001B1B43">
            <w:pPr>
              <w:pStyle w:val="ListParagraph"/>
              <w:numPr>
                <w:ilvl w:val="0"/>
                <w:numId w:val="89"/>
              </w:numPr>
              <w:autoSpaceDE w:val="0"/>
              <w:autoSpaceDN w:val="0"/>
              <w:adjustRightInd w:val="0"/>
              <w:rPr>
                <w:rFonts w:eastAsia="Times New Roman" w:cs="Arial"/>
                <w:color w:val="000000"/>
                <w:szCs w:val="22"/>
              </w:rPr>
            </w:pPr>
            <w:r w:rsidRPr="009B298A">
              <w:rPr>
                <w:rFonts w:cs="Arial"/>
                <w:color w:val="000000"/>
                <w:szCs w:val="22"/>
              </w:rPr>
              <w:t>Life skills training such as anger management, communication skills, employability skills, problem solving, relapse prevention, recovery training, decision-making, relationship skills, and symptom management;</w:t>
            </w:r>
          </w:p>
          <w:p w:rsidR="000349FF" w:rsidRPr="009B298A" w:rsidRDefault="000349FF" w:rsidP="001B1B43">
            <w:pPr>
              <w:pStyle w:val="ListParagraph"/>
              <w:numPr>
                <w:ilvl w:val="0"/>
                <w:numId w:val="89"/>
              </w:numPr>
              <w:autoSpaceDE w:val="0"/>
              <w:autoSpaceDN w:val="0"/>
              <w:adjustRightInd w:val="0"/>
              <w:rPr>
                <w:rFonts w:eastAsia="Times New Roman" w:cs="Arial"/>
                <w:color w:val="000000"/>
                <w:szCs w:val="22"/>
              </w:rPr>
            </w:pPr>
            <w:r w:rsidRPr="009B298A">
              <w:rPr>
                <w:rFonts w:cs="Arial"/>
                <w:color w:val="000000"/>
                <w:szCs w:val="22"/>
              </w:rPr>
              <w:t>Non-verbal therapies such as recreation therapy, art therapy, music therapy, or dance (movement) therapy to provide the consumer with alternative means of self-expression and problem resolution;</w:t>
            </w:r>
          </w:p>
          <w:p w:rsidR="000349FF" w:rsidRPr="009B298A" w:rsidRDefault="000349FF" w:rsidP="001B1B43">
            <w:pPr>
              <w:pStyle w:val="ListParagraph"/>
              <w:numPr>
                <w:ilvl w:val="0"/>
                <w:numId w:val="89"/>
              </w:numPr>
              <w:autoSpaceDE w:val="0"/>
              <w:autoSpaceDN w:val="0"/>
              <w:adjustRightInd w:val="0"/>
              <w:rPr>
                <w:rFonts w:eastAsia="Times New Roman" w:cs="Arial"/>
                <w:color w:val="000000"/>
                <w:szCs w:val="22"/>
              </w:rPr>
            </w:pPr>
            <w:r w:rsidRPr="009B298A">
              <w:rPr>
                <w:rFonts w:cs="Arial"/>
                <w:color w:val="000000"/>
                <w:szCs w:val="22"/>
              </w:rPr>
              <w:lastRenderedPageBreak/>
              <w:t>Training or advising in health and medical issues; employment and educational support services to assist consumers in becoming financially independent; and</w:t>
            </w:r>
          </w:p>
          <w:p w:rsidR="000349FF" w:rsidRPr="009B298A" w:rsidRDefault="000349FF" w:rsidP="001B1B43">
            <w:pPr>
              <w:pStyle w:val="ListParagraph"/>
              <w:numPr>
                <w:ilvl w:val="0"/>
                <w:numId w:val="89"/>
              </w:numPr>
              <w:autoSpaceDE w:val="0"/>
              <w:autoSpaceDN w:val="0"/>
              <w:adjustRightInd w:val="0"/>
              <w:rPr>
                <w:rFonts w:eastAsia="Times New Roman" w:cs="Arial"/>
                <w:color w:val="000000"/>
                <w:szCs w:val="22"/>
              </w:rPr>
            </w:pPr>
            <w:r w:rsidRPr="009B298A">
              <w:rPr>
                <w:rFonts w:cs="Arial"/>
                <w:color w:val="000000"/>
                <w:szCs w:val="22"/>
              </w:rPr>
              <w:t>Mental health services for the purpose of:</w:t>
            </w:r>
          </w:p>
          <w:p w:rsidR="000349FF" w:rsidRPr="009B298A" w:rsidRDefault="000349FF" w:rsidP="001B1B43">
            <w:pPr>
              <w:pStyle w:val="ListParagraph"/>
              <w:numPr>
                <w:ilvl w:val="1"/>
                <w:numId w:val="89"/>
              </w:numPr>
              <w:autoSpaceDE w:val="0"/>
              <w:autoSpaceDN w:val="0"/>
              <w:adjustRightInd w:val="0"/>
              <w:rPr>
                <w:rFonts w:eastAsia="Times New Roman" w:cs="Arial"/>
                <w:color w:val="000000"/>
                <w:szCs w:val="22"/>
              </w:rPr>
            </w:pPr>
            <w:r w:rsidRPr="009B298A">
              <w:rPr>
                <w:rFonts w:cs="Arial"/>
                <w:color w:val="000000"/>
                <w:szCs w:val="22"/>
              </w:rPr>
              <w:t>Managing consumers with disorders who are stabilized;</w:t>
            </w:r>
          </w:p>
          <w:p w:rsidR="000349FF" w:rsidRPr="009B298A" w:rsidRDefault="000349FF" w:rsidP="001B1B43">
            <w:pPr>
              <w:pStyle w:val="ListParagraph"/>
              <w:numPr>
                <w:ilvl w:val="1"/>
                <w:numId w:val="89"/>
              </w:numPr>
              <w:autoSpaceDE w:val="0"/>
              <w:autoSpaceDN w:val="0"/>
              <w:adjustRightInd w:val="0"/>
              <w:rPr>
                <w:rFonts w:eastAsia="Times New Roman" w:cs="Arial"/>
                <w:color w:val="000000"/>
                <w:szCs w:val="22"/>
              </w:rPr>
            </w:pPr>
            <w:r w:rsidRPr="009B298A">
              <w:rPr>
                <w:rFonts w:cs="Arial"/>
                <w:color w:val="000000"/>
                <w:szCs w:val="22"/>
              </w:rPr>
              <w:t>Evaluating consumers’ needs for in-depth mental health assessment;</w:t>
            </w:r>
          </w:p>
          <w:p w:rsidR="000349FF" w:rsidRPr="009B298A" w:rsidRDefault="000349FF" w:rsidP="001B1B43">
            <w:pPr>
              <w:pStyle w:val="ListParagraph"/>
              <w:numPr>
                <w:ilvl w:val="1"/>
                <w:numId w:val="89"/>
              </w:numPr>
              <w:autoSpaceDE w:val="0"/>
              <w:autoSpaceDN w:val="0"/>
              <w:adjustRightInd w:val="0"/>
              <w:rPr>
                <w:rFonts w:eastAsia="Times New Roman" w:cs="Arial"/>
                <w:color w:val="000000"/>
                <w:szCs w:val="22"/>
              </w:rPr>
            </w:pPr>
            <w:r w:rsidRPr="009B298A">
              <w:rPr>
                <w:rFonts w:cs="Arial"/>
                <w:color w:val="000000"/>
                <w:szCs w:val="22"/>
              </w:rPr>
              <w:t>Training consumers to manage symptoms; and</w:t>
            </w:r>
          </w:p>
          <w:p w:rsidR="000349FF" w:rsidRPr="009B298A" w:rsidRDefault="000349FF" w:rsidP="001B1B43">
            <w:pPr>
              <w:pStyle w:val="ListParagraph"/>
              <w:numPr>
                <w:ilvl w:val="1"/>
                <w:numId w:val="89"/>
              </w:numPr>
              <w:autoSpaceDE w:val="0"/>
              <w:autoSpaceDN w:val="0"/>
              <w:adjustRightInd w:val="0"/>
              <w:rPr>
                <w:rFonts w:eastAsia="Times New Roman" w:cs="Arial"/>
                <w:color w:val="000000"/>
                <w:szCs w:val="22"/>
              </w:rPr>
            </w:pPr>
            <w:r w:rsidRPr="009B298A">
              <w:rPr>
                <w:rFonts w:cs="Arial"/>
                <w:color w:val="000000"/>
                <w:szCs w:val="22"/>
              </w:rPr>
              <w:t>Timely referral to an appropriate provider for mental health crisis or the emergence of a primary mental health disorder when the provider is not staffed to address primary mental health problems.</w:t>
            </w:r>
          </w:p>
          <w:p w:rsidR="000349FF" w:rsidRPr="009B298A" w:rsidRDefault="000349FF" w:rsidP="00960D4B">
            <w:pPr>
              <w:rPr>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349FF" w:rsidRPr="009B298A" w:rsidRDefault="000349FF" w:rsidP="00960D4B">
            <w:pPr>
              <w:rPr>
                <w:szCs w:val="22"/>
              </w:rPr>
            </w:pPr>
            <w:r w:rsidRPr="009B298A">
              <w:rPr>
                <w:rFonts w:eastAsia="Times New Roman" w:cs="Arial"/>
                <w:szCs w:val="22"/>
              </w:rPr>
              <w:lastRenderedPageBreak/>
              <w:t>2.3</w:t>
            </w:r>
          </w:p>
        </w:tc>
        <w:tc>
          <w:tcPr>
            <w:tcW w:w="3960" w:type="dxa"/>
            <w:tcBorders>
              <w:top w:val="single" w:sz="12" w:space="0" w:color="17365D" w:themeColor="text2" w:themeShade="BF"/>
              <w:bottom w:val="single" w:sz="12" w:space="0" w:color="17365D" w:themeColor="text2" w:themeShade="BF"/>
            </w:tcBorders>
          </w:tcPr>
          <w:p w:rsidR="000349FF" w:rsidRPr="009B298A" w:rsidRDefault="000349FF" w:rsidP="00960D4B">
            <w:pPr>
              <w:rPr>
                <w:szCs w:val="22"/>
              </w:rPr>
            </w:pPr>
            <w:r w:rsidRPr="009B298A">
              <w:rPr>
                <w:rFonts w:cs="Arial"/>
                <w:color w:val="000000"/>
                <w:szCs w:val="22"/>
              </w:rPr>
              <w:t>Documentation in consumer file clinical record reflects the specified services in accordance with the needs of the consumer as identified in the treatment plan.</w:t>
            </w:r>
          </w:p>
        </w:tc>
      </w:tr>
      <w:tr w:rsidR="000349FF" w:rsidRPr="00F8308B" w:rsidTr="00960D4B">
        <w:tc>
          <w:tcPr>
            <w:tcW w:w="738" w:type="dxa"/>
            <w:tcBorders>
              <w:top w:val="single" w:sz="12" w:space="0" w:color="17365D" w:themeColor="text2" w:themeShade="BF"/>
              <w:bottom w:val="single" w:sz="12" w:space="0" w:color="17365D" w:themeColor="text2" w:themeShade="BF"/>
            </w:tcBorders>
          </w:tcPr>
          <w:p w:rsidR="000349FF" w:rsidRPr="009B298A" w:rsidRDefault="000349FF" w:rsidP="00960D4B">
            <w:pPr>
              <w:rPr>
                <w:rFonts w:eastAsia="Times New Roman" w:cs="Arial"/>
                <w:szCs w:val="22"/>
              </w:rPr>
            </w:pPr>
            <w:r w:rsidRPr="009B298A">
              <w:rPr>
                <w:rFonts w:eastAsia="Times New Roman" w:cs="Arial"/>
                <w:szCs w:val="22"/>
              </w:rPr>
              <w:lastRenderedPageBreak/>
              <w:t>2.4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349FF" w:rsidRPr="009B298A" w:rsidRDefault="000349FF" w:rsidP="000349FF">
            <w:pPr>
              <w:spacing w:after="120"/>
              <w:rPr>
                <w:rFonts w:eastAsia="Times New Roman" w:cs="Arial"/>
                <w:szCs w:val="22"/>
              </w:rPr>
            </w:pPr>
            <w:r w:rsidRPr="009B298A">
              <w:rPr>
                <w:rFonts w:eastAsia="Times New Roman" w:cs="Arial"/>
                <w:szCs w:val="22"/>
              </w:rPr>
              <w:t>All consumers must have had a physical exam within the past 6 months.  If they have not, one must be provided or coordinated for them.</w:t>
            </w:r>
          </w:p>
          <w:p w:rsidR="000349FF" w:rsidRPr="009B298A" w:rsidRDefault="000349FF" w:rsidP="000349FF">
            <w:pPr>
              <w:autoSpaceDE w:val="0"/>
              <w:autoSpaceDN w:val="0"/>
              <w:adjustRightInd w:val="0"/>
              <w:rPr>
                <w:rFonts w:cs="Arial"/>
                <w:color w:val="000000"/>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349FF" w:rsidRPr="009B298A" w:rsidRDefault="000349FF" w:rsidP="00960D4B">
            <w:pPr>
              <w:rPr>
                <w:rFonts w:eastAsia="Times New Roman" w:cs="Arial"/>
                <w:szCs w:val="22"/>
              </w:rPr>
            </w:pPr>
            <w:r w:rsidRPr="009B298A">
              <w:rPr>
                <w:rFonts w:eastAsia="Times New Roman" w:cs="Arial"/>
                <w:szCs w:val="22"/>
              </w:rPr>
              <w:t>2.4</w:t>
            </w:r>
          </w:p>
        </w:tc>
        <w:tc>
          <w:tcPr>
            <w:tcW w:w="3960" w:type="dxa"/>
            <w:tcBorders>
              <w:top w:val="single" w:sz="12" w:space="0" w:color="17365D" w:themeColor="text2" w:themeShade="BF"/>
              <w:bottom w:val="single" w:sz="12" w:space="0" w:color="17365D" w:themeColor="text2" w:themeShade="BF"/>
            </w:tcBorders>
          </w:tcPr>
          <w:p w:rsidR="000349FF" w:rsidRPr="009B298A" w:rsidRDefault="000349FF" w:rsidP="00960D4B">
            <w:pPr>
              <w:rPr>
                <w:rFonts w:cs="Arial"/>
                <w:color w:val="000000"/>
                <w:szCs w:val="22"/>
              </w:rPr>
            </w:pPr>
            <w:r w:rsidRPr="009B298A">
              <w:rPr>
                <w:rFonts w:eastAsia="Times New Roman" w:cs="Arial"/>
                <w:szCs w:val="22"/>
              </w:rPr>
              <w:t>Documentation in consumer clinical record of a physical exam</w:t>
            </w:r>
          </w:p>
        </w:tc>
      </w:tr>
      <w:tr w:rsidR="000349FF" w:rsidRPr="00F8308B" w:rsidTr="00960D4B">
        <w:tc>
          <w:tcPr>
            <w:tcW w:w="738" w:type="dxa"/>
            <w:tcBorders>
              <w:top w:val="single" w:sz="12" w:space="0" w:color="17365D" w:themeColor="text2" w:themeShade="BF"/>
              <w:bottom w:val="single" w:sz="12" w:space="0" w:color="17365D" w:themeColor="text2" w:themeShade="BF"/>
            </w:tcBorders>
          </w:tcPr>
          <w:p w:rsidR="000349FF" w:rsidRPr="009B298A" w:rsidRDefault="000349FF" w:rsidP="00960D4B">
            <w:pPr>
              <w:rPr>
                <w:rFonts w:eastAsia="Times New Roman" w:cs="Arial"/>
                <w:szCs w:val="22"/>
              </w:rPr>
            </w:pPr>
            <w:r w:rsidRPr="009B298A">
              <w:rPr>
                <w:rFonts w:eastAsia="Times New Roman" w:cs="Arial"/>
                <w:szCs w:val="22"/>
              </w:rPr>
              <w:t>2.5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0349FF" w:rsidRPr="009B298A" w:rsidRDefault="000349FF" w:rsidP="000349FF">
            <w:pPr>
              <w:spacing w:after="120"/>
              <w:rPr>
                <w:rFonts w:eastAsia="Times New Roman" w:cs="Arial"/>
                <w:szCs w:val="22"/>
              </w:rPr>
            </w:pPr>
            <w:r w:rsidRPr="009B298A">
              <w:rPr>
                <w:rFonts w:eastAsia="Times New Roman" w:cs="Arial"/>
                <w:szCs w:val="22"/>
              </w:rPr>
              <w:t>Each provider shall arrange for or provide transportation services to consumers who are involved in activities or in need of services that are provided at other facilities.</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0349FF" w:rsidRPr="009B298A" w:rsidRDefault="000349FF" w:rsidP="00960D4B">
            <w:pPr>
              <w:rPr>
                <w:rFonts w:eastAsia="Times New Roman" w:cs="Arial"/>
                <w:szCs w:val="22"/>
              </w:rPr>
            </w:pPr>
            <w:r w:rsidRPr="009B298A">
              <w:rPr>
                <w:rFonts w:eastAsia="Times New Roman" w:cs="Arial"/>
                <w:szCs w:val="22"/>
              </w:rPr>
              <w:t>2.5</w:t>
            </w:r>
          </w:p>
        </w:tc>
        <w:tc>
          <w:tcPr>
            <w:tcW w:w="3960" w:type="dxa"/>
            <w:tcBorders>
              <w:top w:val="single" w:sz="12" w:space="0" w:color="17365D" w:themeColor="text2" w:themeShade="BF"/>
              <w:bottom w:val="single" w:sz="12" w:space="0" w:color="17365D" w:themeColor="text2" w:themeShade="BF"/>
            </w:tcBorders>
          </w:tcPr>
          <w:p w:rsidR="000349FF" w:rsidRPr="009B298A" w:rsidRDefault="000349FF" w:rsidP="00960D4B">
            <w:pPr>
              <w:rPr>
                <w:rFonts w:eastAsia="Times New Roman" w:cs="Arial"/>
                <w:szCs w:val="22"/>
              </w:rPr>
            </w:pPr>
            <w:r w:rsidRPr="009B298A">
              <w:rPr>
                <w:rFonts w:eastAsia="Times New Roman" w:cs="Arial"/>
                <w:szCs w:val="22"/>
              </w:rPr>
              <w:t>Documentation of transportation in consumer clinical record.</w:t>
            </w:r>
          </w:p>
        </w:tc>
      </w:tr>
    </w:tbl>
    <w:p w:rsidR="000349FF" w:rsidRDefault="000349FF"/>
    <w:p w:rsidR="009B298A" w:rsidRDefault="009B298A"/>
    <w:tbl>
      <w:tblPr>
        <w:tblStyle w:val="TableGrid19"/>
        <w:tblW w:w="9576" w:type="dxa"/>
        <w:tblLayout w:type="fixed"/>
        <w:tblLook w:val="04A0" w:firstRow="1" w:lastRow="0" w:firstColumn="1" w:lastColumn="0" w:noHBand="0" w:noVBand="1"/>
      </w:tblPr>
      <w:tblGrid>
        <w:gridCol w:w="9576"/>
      </w:tblGrid>
      <w:tr w:rsidR="00F8308B" w:rsidRPr="00F8308B" w:rsidTr="00960D4B">
        <w:tc>
          <w:tcPr>
            <w:tcW w:w="9576" w:type="dxa"/>
            <w:tcBorders>
              <w:top w:val="single" w:sz="12" w:space="0" w:color="0F243E" w:themeColor="text2" w:themeShade="80"/>
              <w:left w:val="nil"/>
              <w:bottom w:val="single" w:sz="12" w:space="0" w:color="0F243E" w:themeColor="text2" w:themeShade="80"/>
              <w:right w:val="nil"/>
            </w:tcBorders>
          </w:tcPr>
          <w:p w:rsidR="00F8308B" w:rsidRPr="00F8308B" w:rsidRDefault="00F8308B" w:rsidP="00960D4B">
            <w:pPr>
              <w:pStyle w:val="Heading3"/>
              <w:spacing w:before="0"/>
              <w:outlineLvl w:val="2"/>
            </w:pPr>
            <w:bookmarkStart w:id="98" w:name="_Toc489280929"/>
            <w:r w:rsidRPr="00960D4B">
              <w:rPr>
                <w:sz w:val="28"/>
              </w:rPr>
              <w:t>3.0 Discharge</w:t>
            </w:r>
            <w:bookmarkEnd w:id="98"/>
          </w:p>
        </w:tc>
      </w:tr>
    </w:tbl>
    <w:p w:rsidR="00F8308B" w:rsidRPr="00F8308B" w:rsidRDefault="00F8308B" w:rsidP="00F8308B">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C47DFE" w:rsidTr="00C47DFE">
        <w:tc>
          <w:tcPr>
            <w:tcW w:w="9576" w:type="dxa"/>
            <w:tcBorders>
              <w:top w:val="nil"/>
              <w:left w:val="nil"/>
              <w:bottom w:val="nil"/>
              <w:right w:val="nil"/>
            </w:tcBorders>
          </w:tcPr>
          <w:p w:rsidR="00C47DFE" w:rsidRDefault="00C47DFE" w:rsidP="00C47DFE">
            <w:pPr>
              <w:rPr>
                <w:rFonts w:cs="Arial"/>
              </w:rPr>
            </w:pPr>
            <w:r w:rsidRPr="00F8308B">
              <w:rPr>
                <w:rFonts w:cs="Arial"/>
              </w:rPr>
              <w:t xml:space="preserve">Consumers who are no longer engaged in Residential Substance Abuse Services </w:t>
            </w:r>
            <w:r w:rsidRPr="00F8308B">
              <w:rPr>
                <w:rFonts w:cs="Arial"/>
              </w:rPr>
              <w:lastRenderedPageBreak/>
              <w:t>should have their cases closed based on the criteria and protocol outlined in the consumer’s treatment plan and the agency’s discharge policy in the Policies and Procedures Manual.</w:t>
            </w:r>
          </w:p>
        </w:tc>
      </w:tr>
    </w:tbl>
    <w:p w:rsidR="00F8308B" w:rsidRPr="00F8308B" w:rsidRDefault="00F8308B" w:rsidP="00F8308B">
      <w:pPr>
        <w:spacing w:after="0" w:line="240" w:lineRule="auto"/>
        <w:jc w:val="both"/>
        <w:rPr>
          <w:rFonts w:ascii="Arial" w:hAnsi="Arial" w:cs="Arial"/>
          <w:sz w:val="24"/>
        </w:rPr>
      </w:pPr>
    </w:p>
    <w:tbl>
      <w:tblPr>
        <w:tblStyle w:val="TableGrid19"/>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F8308B" w:rsidRPr="00F8308B" w:rsidTr="00960D4B">
        <w:tc>
          <w:tcPr>
            <w:tcW w:w="9558" w:type="dxa"/>
            <w:gridSpan w:val="6"/>
            <w:shd w:val="clear" w:color="auto" w:fill="17365D" w:themeFill="text2" w:themeFillShade="BF"/>
          </w:tcPr>
          <w:p w:rsidR="00F8308B" w:rsidRPr="00F8308B" w:rsidRDefault="00F8308B" w:rsidP="00960D4B">
            <w:pPr>
              <w:pStyle w:val="Heading4"/>
              <w:outlineLvl w:val="3"/>
            </w:pPr>
            <w:r w:rsidRPr="00960D4B">
              <w:rPr>
                <w:color w:val="FFFFFF" w:themeColor="background1"/>
                <w:sz w:val="28"/>
              </w:rPr>
              <w:t>3.0 Discharge</w:t>
            </w:r>
          </w:p>
        </w:tc>
      </w:tr>
      <w:tr w:rsidR="00F8308B" w:rsidRPr="00F8308B" w:rsidTr="00960D4B">
        <w:tc>
          <w:tcPr>
            <w:tcW w:w="720" w:type="dxa"/>
          </w:tcPr>
          <w:p w:rsidR="00F8308B" w:rsidRPr="00F8308B" w:rsidRDefault="00F8308B" w:rsidP="00F8308B"/>
        </w:tc>
        <w:tc>
          <w:tcPr>
            <w:tcW w:w="4176" w:type="dxa"/>
            <w:gridSpan w:val="2"/>
          </w:tcPr>
          <w:p w:rsidR="00F8308B" w:rsidRPr="00F8308B" w:rsidRDefault="00F8308B" w:rsidP="00F8308B"/>
        </w:tc>
        <w:tc>
          <w:tcPr>
            <w:tcW w:w="720" w:type="dxa"/>
            <w:gridSpan w:val="2"/>
          </w:tcPr>
          <w:p w:rsidR="00F8308B" w:rsidRPr="00F8308B" w:rsidRDefault="00F8308B" w:rsidP="00F8308B"/>
        </w:tc>
        <w:tc>
          <w:tcPr>
            <w:tcW w:w="3942" w:type="dxa"/>
          </w:tcPr>
          <w:p w:rsidR="00F8308B" w:rsidRPr="00F8308B" w:rsidRDefault="00F8308B" w:rsidP="00F8308B"/>
        </w:tc>
      </w:tr>
      <w:tr w:rsidR="00F8308B" w:rsidRPr="00F8308B" w:rsidTr="00960D4B">
        <w:tc>
          <w:tcPr>
            <w:tcW w:w="4896" w:type="dxa"/>
            <w:gridSpan w:val="3"/>
            <w:tcBorders>
              <w:bottom w:val="single" w:sz="12" w:space="0" w:color="17365D" w:themeColor="text2" w:themeShade="BF"/>
              <w:right w:val="single" w:sz="12" w:space="0" w:color="17365D" w:themeColor="text2" w:themeShade="BF"/>
            </w:tcBorders>
            <w:vAlign w:val="center"/>
          </w:tcPr>
          <w:p w:rsidR="00F8308B" w:rsidRPr="009B298A" w:rsidRDefault="00F8308B" w:rsidP="00F8308B">
            <w:pPr>
              <w:jc w:val="center"/>
              <w:rPr>
                <w:rStyle w:val="BookTitle"/>
              </w:rPr>
            </w:pPr>
            <w:r w:rsidRPr="009B298A">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F8308B" w:rsidRPr="009B298A" w:rsidRDefault="00F8308B" w:rsidP="00F8308B">
            <w:pPr>
              <w:jc w:val="center"/>
              <w:rPr>
                <w:rStyle w:val="BookTitle"/>
              </w:rPr>
            </w:pPr>
            <w:r w:rsidRPr="009B298A">
              <w:rPr>
                <w:rStyle w:val="BookTitle"/>
              </w:rPr>
              <w:t>Measures</w:t>
            </w:r>
          </w:p>
        </w:tc>
      </w:tr>
      <w:tr w:rsidR="00F8308B" w:rsidRPr="00F8308B" w:rsidTr="00960D4B">
        <w:tc>
          <w:tcPr>
            <w:tcW w:w="738" w:type="dxa"/>
            <w:gridSpan w:val="2"/>
            <w:tcBorders>
              <w:top w:val="single" w:sz="12" w:space="0" w:color="17365D" w:themeColor="text2" w:themeShade="BF"/>
              <w:bottom w:val="single" w:sz="12" w:space="0" w:color="17365D" w:themeColor="text2" w:themeShade="BF"/>
            </w:tcBorders>
          </w:tcPr>
          <w:p w:rsidR="00F8308B" w:rsidRPr="009B298A" w:rsidRDefault="00F8308B" w:rsidP="00F8308B">
            <w:r w:rsidRPr="009B298A">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8308B" w:rsidRPr="009B298A" w:rsidRDefault="00F8308B" w:rsidP="00F8308B">
            <w:r w:rsidRPr="009B298A">
              <w:t>Upon face-to-face discharge, consumers shall receive a discharge plan which has been approved by a qualified supervisor.</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8308B" w:rsidRPr="009B298A" w:rsidRDefault="00F8308B" w:rsidP="00F8308B">
            <w:r w:rsidRPr="009B298A">
              <w:t>3.1</w:t>
            </w:r>
          </w:p>
        </w:tc>
        <w:tc>
          <w:tcPr>
            <w:tcW w:w="3960" w:type="dxa"/>
            <w:gridSpan w:val="2"/>
            <w:tcBorders>
              <w:top w:val="single" w:sz="12" w:space="0" w:color="17365D" w:themeColor="text2" w:themeShade="BF"/>
              <w:bottom w:val="single" w:sz="12" w:space="0" w:color="17365D" w:themeColor="text2" w:themeShade="BF"/>
            </w:tcBorders>
          </w:tcPr>
          <w:p w:rsidR="00F8308B" w:rsidRDefault="00F8308B" w:rsidP="00F8308B">
            <w:r w:rsidRPr="009B298A">
              <w:t>Discharge plan will document reason for closure; outline available resources and instructions for follow up, and be signed by the treating provider and a qualified supervisor.</w:t>
            </w:r>
          </w:p>
          <w:p w:rsidR="009B298A" w:rsidRPr="009B298A" w:rsidRDefault="009B298A" w:rsidP="00F8308B"/>
        </w:tc>
      </w:tr>
      <w:tr w:rsidR="00F8308B" w:rsidRPr="00F8308B" w:rsidTr="00960D4B">
        <w:tc>
          <w:tcPr>
            <w:tcW w:w="738" w:type="dxa"/>
            <w:gridSpan w:val="2"/>
            <w:tcBorders>
              <w:top w:val="single" w:sz="12" w:space="0" w:color="17365D" w:themeColor="text2" w:themeShade="BF"/>
              <w:bottom w:val="single" w:sz="12" w:space="0" w:color="17365D" w:themeColor="text2" w:themeShade="BF"/>
            </w:tcBorders>
          </w:tcPr>
          <w:p w:rsidR="00F8308B" w:rsidRPr="009B298A" w:rsidRDefault="00F8308B" w:rsidP="00F8308B">
            <w:r w:rsidRPr="009B298A">
              <w:t>3.2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8308B" w:rsidRPr="009B298A" w:rsidRDefault="00F8308B" w:rsidP="00F8308B">
            <w:r w:rsidRPr="009B298A">
              <w:t xml:space="preserve">Each closed consumer record shall contain a discharge summary and an exit interview, where appropriate. </w:t>
            </w:r>
          </w:p>
          <w:p w:rsidR="00F8308B" w:rsidRPr="009B298A" w:rsidRDefault="00F8308B" w:rsidP="00F8308B"/>
          <w:p w:rsidR="00F8308B" w:rsidRPr="00C47DFE" w:rsidRDefault="00F8308B" w:rsidP="00F8308B">
            <w:pPr>
              <w:rPr>
                <w:b/>
                <w:sz w:val="22"/>
              </w:rPr>
            </w:pPr>
            <w:r w:rsidRPr="00C47DFE">
              <w:rPr>
                <w:b/>
                <w:sz w:val="22"/>
              </w:rPr>
              <w:t>Note: When the treating provider is not able to conduct an exit interview or discharge summary, the reason must be documented in the record.</w:t>
            </w:r>
          </w:p>
          <w:p w:rsidR="009B298A" w:rsidRPr="009B298A" w:rsidRDefault="009B298A" w:rsidP="00F8308B">
            <w:pPr>
              <w:rPr>
                <w:b/>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8308B" w:rsidRPr="009B298A" w:rsidRDefault="00F8308B" w:rsidP="00F8308B">
            <w:r w:rsidRPr="009B298A">
              <w:t>3.2</w:t>
            </w:r>
          </w:p>
        </w:tc>
        <w:tc>
          <w:tcPr>
            <w:tcW w:w="3960" w:type="dxa"/>
            <w:gridSpan w:val="2"/>
            <w:tcBorders>
              <w:top w:val="single" w:sz="12" w:space="0" w:color="17365D" w:themeColor="text2" w:themeShade="BF"/>
              <w:bottom w:val="single" w:sz="12" w:space="0" w:color="17365D" w:themeColor="text2" w:themeShade="BF"/>
            </w:tcBorders>
          </w:tcPr>
          <w:p w:rsidR="00F8308B" w:rsidRPr="009B298A" w:rsidRDefault="00F8308B" w:rsidP="00F8308B">
            <w:pPr>
              <w:contextualSpacing/>
            </w:pPr>
            <w:r w:rsidRPr="009B298A">
              <w:t>The discharge summary shall document the recent closure in case disposition and shall be reviewed by the clinical supervisor.</w:t>
            </w:r>
          </w:p>
        </w:tc>
      </w:tr>
      <w:tr w:rsidR="00F8308B" w:rsidRPr="00F8308B" w:rsidTr="00960D4B">
        <w:tc>
          <w:tcPr>
            <w:tcW w:w="738" w:type="dxa"/>
            <w:gridSpan w:val="2"/>
            <w:tcBorders>
              <w:top w:val="single" w:sz="12" w:space="0" w:color="17365D" w:themeColor="text2" w:themeShade="BF"/>
              <w:bottom w:val="single" w:sz="12" w:space="0" w:color="17365D" w:themeColor="text2" w:themeShade="BF"/>
            </w:tcBorders>
          </w:tcPr>
          <w:p w:rsidR="00F8308B" w:rsidRPr="009B298A" w:rsidRDefault="00F8308B" w:rsidP="00F8308B">
            <w:r w:rsidRPr="009B298A">
              <w:t>3.3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8308B" w:rsidRPr="009B298A" w:rsidRDefault="00F8308B" w:rsidP="00F8308B">
            <w:r w:rsidRPr="009B298A">
              <w:t>All discharged consumers shall be offered an exit interview via one of the following:</w:t>
            </w:r>
          </w:p>
          <w:p w:rsidR="00F8308B" w:rsidRPr="009B298A" w:rsidRDefault="009B298A" w:rsidP="001B1B43">
            <w:pPr>
              <w:pStyle w:val="ListParagraph"/>
              <w:numPr>
                <w:ilvl w:val="0"/>
                <w:numId w:val="105"/>
              </w:numPr>
            </w:pPr>
            <w:r w:rsidRPr="009B298A">
              <w:t>Face-to-face visit;</w:t>
            </w:r>
          </w:p>
          <w:p w:rsidR="00F8308B" w:rsidRPr="009B298A" w:rsidRDefault="009B298A" w:rsidP="001B1B43">
            <w:pPr>
              <w:pStyle w:val="ListParagraph"/>
              <w:numPr>
                <w:ilvl w:val="0"/>
                <w:numId w:val="105"/>
              </w:numPr>
            </w:pPr>
            <w:r w:rsidRPr="009B298A">
              <w:t>Telephone call; or</w:t>
            </w:r>
          </w:p>
          <w:p w:rsidR="00F8308B" w:rsidRPr="009B298A" w:rsidRDefault="009B298A" w:rsidP="001B1B43">
            <w:pPr>
              <w:pStyle w:val="ListParagraph"/>
              <w:numPr>
                <w:ilvl w:val="0"/>
                <w:numId w:val="105"/>
              </w:numPr>
            </w:pPr>
            <w:r w:rsidRPr="009B298A">
              <w:t>Written communication</w:t>
            </w:r>
          </w:p>
          <w:p w:rsidR="009B298A" w:rsidRDefault="009B298A" w:rsidP="00F8308B">
            <w:pPr>
              <w:contextualSpacing/>
              <w:rPr>
                <w:b/>
              </w:rPr>
            </w:pPr>
          </w:p>
          <w:p w:rsidR="00F8308B" w:rsidRPr="00C47DFE" w:rsidRDefault="00F8308B" w:rsidP="00F8308B">
            <w:pPr>
              <w:contextualSpacing/>
              <w:rPr>
                <w:b/>
                <w:sz w:val="22"/>
              </w:rPr>
            </w:pPr>
            <w:r w:rsidRPr="00C47DFE">
              <w:rPr>
                <w:b/>
                <w:sz w:val="22"/>
              </w:rPr>
              <w:t>Note: When the treating provider  is not able to conduct an exit interview, reason must be documented in the record</w:t>
            </w:r>
          </w:p>
          <w:p w:rsidR="009B298A" w:rsidRPr="009B298A" w:rsidRDefault="009B298A" w:rsidP="00F8308B">
            <w:pPr>
              <w:contextualSpacing/>
              <w:rPr>
                <w:b/>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8308B" w:rsidRPr="009B298A" w:rsidRDefault="00F8308B" w:rsidP="00F8308B">
            <w:r w:rsidRPr="009B298A">
              <w:t>3.3</w:t>
            </w:r>
          </w:p>
        </w:tc>
        <w:tc>
          <w:tcPr>
            <w:tcW w:w="3960" w:type="dxa"/>
            <w:gridSpan w:val="2"/>
            <w:tcBorders>
              <w:top w:val="single" w:sz="12" w:space="0" w:color="17365D" w:themeColor="text2" w:themeShade="BF"/>
              <w:bottom w:val="single" w:sz="12" w:space="0" w:color="17365D" w:themeColor="text2" w:themeShade="BF"/>
            </w:tcBorders>
          </w:tcPr>
          <w:p w:rsidR="00F8308B" w:rsidRPr="009B298A" w:rsidRDefault="00F8308B" w:rsidP="00F8308B">
            <w:r w:rsidRPr="009B298A">
              <w:t>The discharge summary shall document an exit interview was offered.</w:t>
            </w:r>
          </w:p>
        </w:tc>
      </w:tr>
      <w:tr w:rsidR="00F8308B" w:rsidRPr="00F8308B" w:rsidTr="00960D4B">
        <w:tc>
          <w:tcPr>
            <w:tcW w:w="738" w:type="dxa"/>
            <w:gridSpan w:val="2"/>
            <w:tcBorders>
              <w:top w:val="single" w:sz="12" w:space="0" w:color="17365D" w:themeColor="text2" w:themeShade="BF"/>
              <w:bottom w:val="single" w:sz="12" w:space="0" w:color="17365D" w:themeColor="text2" w:themeShade="BF"/>
            </w:tcBorders>
          </w:tcPr>
          <w:p w:rsidR="00F8308B" w:rsidRPr="009B298A" w:rsidRDefault="00F8308B" w:rsidP="00F8308B">
            <w:r w:rsidRPr="009B298A">
              <w:t>3.4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F8308B" w:rsidRDefault="00F8308B" w:rsidP="00F8308B">
            <w:r w:rsidRPr="009B298A">
              <w:t>All discharge summaries shall be documented in Consumer record within 6 months of the last consumer contact.</w:t>
            </w:r>
          </w:p>
          <w:p w:rsidR="009B298A" w:rsidRPr="009B298A" w:rsidRDefault="009B298A" w:rsidP="00F8308B"/>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F8308B" w:rsidRPr="009B298A" w:rsidRDefault="00F8308B" w:rsidP="00F8308B">
            <w:r w:rsidRPr="009B298A">
              <w:t>3.4</w:t>
            </w:r>
          </w:p>
        </w:tc>
        <w:tc>
          <w:tcPr>
            <w:tcW w:w="3960" w:type="dxa"/>
            <w:gridSpan w:val="2"/>
            <w:tcBorders>
              <w:top w:val="single" w:sz="12" w:space="0" w:color="17365D" w:themeColor="text2" w:themeShade="BF"/>
              <w:bottom w:val="single" w:sz="12" w:space="0" w:color="17365D" w:themeColor="text2" w:themeShade="BF"/>
            </w:tcBorders>
          </w:tcPr>
          <w:p w:rsidR="00F8308B" w:rsidRPr="009B298A" w:rsidRDefault="00F8308B" w:rsidP="00F8308B">
            <w:r w:rsidRPr="009B298A">
              <w:t>Documentation in consumer clinical record</w:t>
            </w:r>
          </w:p>
        </w:tc>
      </w:tr>
    </w:tbl>
    <w:p w:rsidR="00193C23" w:rsidRDefault="00193C23" w:rsidP="00F8308B">
      <w:pPr>
        <w:spacing w:after="0" w:line="240" w:lineRule="auto"/>
        <w:ind w:left="1080" w:hanging="360"/>
        <w:jc w:val="both"/>
        <w:rPr>
          <w:rFonts w:ascii="Cambria" w:eastAsia="Times New Roman" w:hAnsi="Cambria" w:cs="Times New Roman"/>
          <w:sz w:val="20"/>
        </w:rPr>
      </w:pPr>
    </w:p>
    <w:p w:rsidR="00337742" w:rsidRDefault="00337742" w:rsidP="00F8308B">
      <w:pPr>
        <w:spacing w:after="0" w:line="240" w:lineRule="auto"/>
        <w:ind w:left="1080" w:hanging="360"/>
        <w:jc w:val="both"/>
        <w:rPr>
          <w:rFonts w:ascii="Cambria" w:eastAsia="Times New Roman" w:hAnsi="Cambria" w:cs="Times New Roman"/>
          <w:sz w:val="20"/>
        </w:rPr>
        <w:sectPr w:rsidR="00337742" w:rsidSect="00B30500">
          <w:footerReference w:type="default" r:id="rId64"/>
          <w:footerReference w:type="first" r:id="rId65"/>
          <w:pgSz w:w="12240" w:h="15840" w:code="1"/>
          <w:pgMar w:top="1296" w:right="1440" w:bottom="1296" w:left="1440" w:header="720" w:footer="432" w:gutter="0"/>
          <w:cols w:space="720"/>
          <w:titlePg/>
          <w:docGrid w:linePitch="360"/>
        </w:sectPr>
      </w:pPr>
    </w:p>
    <w:tbl>
      <w:tblPr>
        <w:tblStyle w:val="TableGrid"/>
        <w:tblW w:w="0" w:type="auto"/>
        <w:shd w:val="clear" w:color="auto" w:fill="17365D" w:themeFill="text2" w:themeFillShade="BF"/>
        <w:tblLook w:val="04A0" w:firstRow="1" w:lastRow="0" w:firstColumn="1" w:lastColumn="0" w:noHBand="0" w:noVBand="1"/>
      </w:tblPr>
      <w:tblGrid>
        <w:gridCol w:w="9576"/>
      </w:tblGrid>
      <w:tr w:rsidR="00193C23" w:rsidRPr="000B017A" w:rsidTr="00AC0614">
        <w:tc>
          <w:tcPr>
            <w:tcW w:w="9576" w:type="dxa"/>
            <w:shd w:val="clear" w:color="auto" w:fill="17365D" w:themeFill="text2" w:themeFillShade="BF"/>
          </w:tcPr>
          <w:p w:rsidR="00193C23" w:rsidRPr="000B017A" w:rsidRDefault="00193C23" w:rsidP="00AC0614">
            <w:pPr>
              <w:pStyle w:val="Heading2"/>
              <w:spacing w:before="0"/>
              <w:jc w:val="center"/>
              <w:outlineLvl w:val="1"/>
              <w:rPr>
                <w:rFonts w:ascii="Arial" w:hAnsi="Arial"/>
              </w:rPr>
            </w:pPr>
            <w:bookmarkStart w:id="99" w:name="_Toc489280930"/>
            <w:r w:rsidRPr="000B017A">
              <w:rPr>
                <w:color w:val="FFFFFF" w:themeColor="background1"/>
                <w:sz w:val="32"/>
              </w:rPr>
              <w:lastRenderedPageBreak/>
              <w:t>Psychosocial Support Services (Peer Support)</w:t>
            </w:r>
            <w:bookmarkEnd w:id="99"/>
          </w:p>
        </w:tc>
      </w:tr>
    </w:tbl>
    <w:p w:rsidR="005266B8" w:rsidRDefault="005266B8" w:rsidP="005266B8">
      <w:pPr>
        <w:spacing w:after="0"/>
      </w:pPr>
    </w:p>
    <w:tbl>
      <w:tblPr>
        <w:tblStyle w:val="TableGrid"/>
        <w:tblW w:w="0" w:type="auto"/>
        <w:tblLook w:val="04A0" w:firstRow="1" w:lastRow="0" w:firstColumn="1" w:lastColumn="0" w:noHBand="0" w:noVBand="1"/>
      </w:tblPr>
      <w:tblGrid>
        <w:gridCol w:w="9576"/>
      </w:tblGrid>
      <w:tr w:rsidR="000B017A" w:rsidTr="000B017A">
        <w:tc>
          <w:tcPr>
            <w:tcW w:w="9576" w:type="dxa"/>
            <w:tcBorders>
              <w:top w:val="nil"/>
              <w:left w:val="nil"/>
              <w:bottom w:val="nil"/>
              <w:right w:val="nil"/>
            </w:tcBorders>
          </w:tcPr>
          <w:p w:rsidR="000B017A" w:rsidRPr="000B017A" w:rsidRDefault="000B017A" w:rsidP="000B017A">
            <w:pPr>
              <w:spacing w:before="240"/>
              <w:rPr>
                <w:rFonts w:cs="Arial"/>
              </w:rPr>
            </w:pPr>
            <w:r w:rsidRPr="000B017A">
              <w:rPr>
                <w:rFonts w:cs="Arial"/>
                <w:b/>
              </w:rPr>
              <w:t>Definition</w:t>
            </w:r>
            <w:r w:rsidRPr="000B017A">
              <w:rPr>
                <w:rFonts w:cs="Arial"/>
              </w:rPr>
              <w:t>: Psychosocial Support services provide group or individual support and counseling services to assist eligible people living with HIV to address behavioral and physical health concerns. These services may include:</w:t>
            </w:r>
          </w:p>
          <w:p w:rsidR="000B017A" w:rsidRPr="000B017A" w:rsidRDefault="000B017A" w:rsidP="001B1B43">
            <w:pPr>
              <w:pStyle w:val="ListParagraph"/>
              <w:numPr>
                <w:ilvl w:val="0"/>
                <w:numId w:val="106"/>
              </w:numPr>
              <w:rPr>
                <w:rFonts w:cs="Arial"/>
              </w:rPr>
            </w:pPr>
            <w:r w:rsidRPr="000B017A">
              <w:rPr>
                <w:rFonts w:cs="Arial"/>
              </w:rPr>
              <w:t>Bereavement Counseling</w:t>
            </w:r>
          </w:p>
          <w:p w:rsidR="000B017A" w:rsidRPr="000B017A" w:rsidRDefault="000B017A" w:rsidP="001B1B43">
            <w:pPr>
              <w:pStyle w:val="ListParagraph"/>
              <w:numPr>
                <w:ilvl w:val="0"/>
                <w:numId w:val="106"/>
              </w:numPr>
              <w:rPr>
                <w:rFonts w:cs="Arial"/>
              </w:rPr>
            </w:pPr>
            <w:r w:rsidRPr="000B017A">
              <w:rPr>
                <w:rFonts w:cs="Arial"/>
              </w:rPr>
              <w:t>Child abuse and neglect counseling</w:t>
            </w:r>
          </w:p>
          <w:p w:rsidR="000B017A" w:rsidRPr="000B017A" w:rsidRDefault="000B017A" w:rsidP="001B1B43">
            <w:pPr>
              <w:pStyle w:val="ListParagraph"/>
              <w:numPr>
                <w:ilvl w:val="0"/>
                <w:numId w:val="106"/>
              </w:numPr>
              <w:rPr>
                <w:rFonts w:cs="Arial"/>
              </w:rPr>
            </w:pPr>
            <w:r w:rsidRPr="000B017A">
              <w:rPr>
                <w:rFonts w:cs="Arial"/>
              </w:rPr>
              <w:t>HIV support groups</w:t>
            </w:r>
          </w:p>
          <w:p w:rsidR="000B017A" w:rsidRPr="000B017A" w:rsidRDefault="000B017A" w:rsidP="001B1B43">
            <w:pPr>
              <w:pStyle w:val="ListParagraph"/>
              <w:numPr>
                <w:ilvl w:val="0"/>
                <w:numId w:val="106"/>
              </w:numPr>
              <w:rPr>
                <w:rFonts w:cs="Arial"/>
              </w:rPr>
            </w:pPr>
            <w:r w:rsidRPr="000B017A">
              <w:rPr>
                <w:rFonts w:cs="Arial"/>
              </w:rPr>
              <w:t>Nutrition counseling provided by a non-registered dietitian</w:t>
            </w:r>
          </w:p>
          <w:p w:rsidR="000B017A" w:rsidRPr="000B017A" w:rsidRDefault="000B017A" w:rsidP="001B1B43">
            <w:pPr>
              <w:pStyle w:val="ListParagraph"/>
              <w:numPr>
                <w:ilvl w:val="0"/>
                <w:numId w:val="106"/>
              </w:numPr>
              <w:rPr>
                <w:rFonts w:cs="Arial"/>
              </w:rPr>
            </w:pPr>
            <w:r w:rsidRPr="000B017A">
              <w:rPr>
                <w:rFonts w:cs="Arial"/>
              </w:rPr>
              <w:t>Pastoral care/counseling services.</w:t>
            </w:r>
          </w:p>
          <w:p w:rsidR="000B017A" w:rsidRDefault="000B017A" w:rsidP="000B017A">
            <w:pPr>
              <w:rPr>
                <w:rFonts w:cs="Arial"/>
                <w:b/>
              </w:rPr>
            </w:pPr>
          </w:p>
          <w:p w:rsidR="000B017A" w:rsidRPr="005266B8" w:rsidRDefault="000B017A" w:rsidP="000B017A">
            <w:pPr>
              <w:rPr>
                <w:rFonts w:cs="Arial"/>
                <w:b/>
                <w:sz w:val="22"/>
              </w:rPr>
            </w:pPr>
            <w:r w:rsidRPr="005266B8">
              <w:rPr>
                <w:rFonts w:cs="Arial"/>
                <w:b/>
                <w:sz w:val="22"/>
              </w:rPr>
              <w:t>Note: Psychosocial Support Services in the Orlando EMA shall include Peer Mentoring and Support Group services only.</w:t>
            </w:r>
          </w:p>
          <w:p w:rsidR="000B017A" w:rsidRPr="000B017A" w:rsidRDefault="000B017A" w:rsidP="000B017A">
            <w:pPr>
              <w:rPr>
                <w:rFonts w:cs="Arial"/>
              </w:rPr>
            </w:pPr>
          </w:p>
          <w:p w:rsidR="000B017A" w:rsidRPr="000B017A" w:rsidRDefault="000B017A" w:rsidP="000B017A">
            <w:pPr>
              <w:rPr>
                <w:rFonts w:cs="Arial"/>
              </w:rPr>
            </w:pPr>
            <w:r w:rsidRPr="000B017A">
              <w:rPr>
                <w:rFonts w:cs="Arial"/>
                <w:b/>
              </w:rPr>
              <w:t>Eligibility</w:t>
            </w:r>
            <w:r w:rsidRPr="000B017A">
              <w:rPr>
                <w:rFonts w:cs="Arial"/>
              </w:rPr>
              <w:t xml:space="preserve">: </w:t>
            </w:r>
          </w:p>
          <w:p w:rsidR="000B017A" w:rsidRDefault="000B017A" w:rsidP="005266B8">
            <w:pPr>
              <w:rPr>
                <w:rFonts w:cs="Arial"/>
                <w:b/>
              </w:rPr>
            </w:pPr>
            <w:r w:rsidRPr="000B017A">
              <w:rPr>
                <w:rFonts w:cs="Arial"/>
              </w:rPr>
              <w:t>Consumers accessing Psychosocial Support Services shall meet the eligibility standards as described in the System Wide Standards of Care.</w:t>
            </w:r>
          </w:p>
        </w:tc>
      </w:tr>
    </w:tbl>
    <w:p w:rsidR="000B017A" w:rsidRDefault="000B017A" w:rsidP="00193C23">
      <w:pPr>
        <w:spacing w:after="0" w:line="240" w:lineRule="auto"/>
        <w:jc w:val="both"/>
        <w:rPr>
          <w:rFonts w:ascii="Arial" w:hAnsi="Arial" w:cs="Arial"/>
          <w:b/>
          <w:sz w:val="24"/>
        </w:rPr>
      </w:pPr>
    </w:p>
    <w:tbl>
      <w:tblPr>
        <w:tblStyle w:val="TableGrid19"/>
        <w:tblW w:w="9576" w:type="dxa"/>
        <w:tblLayout w:type="fixed"/>
        <w:tblLook w:val="04A0" w:firstRow="1" w:lastRow="0" w:firstColumn="1" w:lastColumn="0" w:noHBand="0" w:noVBand="1"/>
      </w:tblPr>
      <w:tblGrid>
        <w:gridCol w:w="9576"/>
      </w:tblGrid>
      <w:tr w:rsidR="005266B8" w:rsidRPr="00F8308B" w:rsidTr="005266B8">
        <w:tc>
          <w:tcPr>
            <w:tcW w:w="9576" w:type="dxa"/>
            <w:tcBorders>
              <w:top w:val="single" w:sz="12" w:space="0" w:color="0F243E" w:themeColor="text2" w:themeShade="80"/>
              <w:left w:val="nil"/>
              <w:bottom w:val="single" w:sz="12" w:space="0" w:color="0F243E" w:themeColor="text2" w:themeShade="80"/>
              <w:right w:val="nil"/>
            </w:tcBorders>
          </w:tcPr>
          <w:p w:rsidR="005266B8" w:rsidRPr="00F8308B" w:rsidRDefault="005266B8" w:rsidP="005266B8">
            <w:pPr>
              <w:pStyle w:val="Heading3"/>
              <w:spacing w:before="0"/>
              <w:outlineLvl w:val="2"/>
            </w:pPr>
            <w:bookmarkStart w:id="100" w:name="_Toc489280931"/>
            <w:r w:rsidRPr="005266B8">
              <w:rPr>
                <w:sz w:val="28"/>
              </w:rPr>
              <w:t>1.0 Agency Policies and Procedures</w:t>
            </w:r>
            <w:bookmarkEnd w:id="100"/>
          </w:p>
        </w:tc>
      </w:tr>
    </w:tbl>
    <w:p w:rsidR="005266B8" w:rsidRDefault="005266B8" w:rsidP="00193C23">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576"/>
      </w:tblGrid>
      <w:tr w:rsidR="005266B8" w:rsidTr="005266B8">
        <w:tc>
          <w:tcPr>
            <w:tcW w:w="9576" w:type="dxa"/>
            <w:tcBorders>
              <w:top w:val="nil"/>
              <w:left w:val="nil"/>
              <w:bottom w:val="nil"/>
              <w:right w:val="nil"/>
            </w:tcBorders>
          </w:tcPr>
          <w:p w:rsidR="005266B8" w:rsidRDefault="005266B8" w:rsidP="005266B8">
            <w:pPr>
              <w:rPr>
                <w:rFonts w:cs="Arial"/>
                <w:b/>
              </w:rPr>
            </w:pPr>
            <w:r w:rsidRPr="005266B8">
              <w:rPr>
                <w:rFonts w:cs="Arial"/>
              </w:rPr>
              <w:t>The Agencies shall have Policy and Procedures to ensure that the Services are accessible to all eligible consumers.  The Agency policy and procedures will ensure compliance with the following Standards.</w:t>
            </w:r>
          </w:p>
        </w:tc>
      </w:tr>
    </w:tbl>
    <w:p w:rsidR="005266B8" w:rsidRDefault="005266B8" w:rsidP="00193C23">
      <w:pPr>
        <w:spacing w:after="0" w:line="240" w:lineRule="auto"/>
        <w:jc w:val="both"/>
        <w:rPr>
          <w:rFonts w:ascii="Arial" w:hAnsi="Arial" w:cs="Arial"/>
          <w:b/>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176"/>
        <w:gridCol w:w="720"/>
        <w:gridCol w:w="3942"/>
      </w:tblGrid>
      <w:tr w:rsidR="00193C23" w:rsidRPr="000B017A" w:rsidTr="00AC0614">
        <w:tc>
          <w:tcPr>
            <w:tcW w:w="9558" w:type="dxa"/>
            <w:gridSpan w:val="4"/>
            <w:shd w:val="clear" w:color="auto" w:fill="17365D" w:themeFill="text2" w:themeFillShade="BF"/>
          </w:tcPr>
          <w:p w:rsidR="00193C23" w:rsidRPr="000B017A" w:rsidRDefault="005266B8" w:rsidP="005266B8">
            <w:pPr>
              <w:pStyle w:val="Heading4"/>
              <w:spacing w:before="0"/>
              <w:outlineLvl w:val="3"/>
              <w:rPr>
                <w:bCs/>
              </w:rPr>
            </w:pPr>
            <w:r w:rsidRPr="005266B8">
              <w:rPr>
                <w:color w:val="FFFFFF" w:themeColor="background1"/>
                <w:sz w:val="28"/>
              </w:rPr>
              <w:t>1.0 Agency Policies and Procedure</w:t>
            </w:r>
          </w:p>
        </w:tc>
      </w:tr>
      <w:tr w:rsidR="00193C23" w:rsidRPr="000B017A" w:rsidTr="00AC0614">
        <w:tc>
          <w:tcPr>
            <w:tcW w:w="720" w:type="dxa"/>
          </w:tcPr>
          <w:p w:rsidR="00193C23" w:rsidRPr="000B017A" w:rsidRDefault="00193C23" w:rsidP="00AC0614">
            <w:pPr>
              <w:rPr>
                <w:bCs w:val="0"/>
              </w:rPr>
            </w:pPr>
          </w:p>
        </w:tc>
        <w:tc>
          <w:tcPr>
            <w:tcW w:w="4176" w:type="dxa"/>
          </w:tcPr>
          <w:p w:rsidR="00193C23" w:rsidRPr="000B017A" w:rsidRDefault="00193C23" w:rsidP="00AC0614">
            <w:pPr>
              <w:rPr>
                <w:bCs w:val="0"/>
              </w:rPr>
            </w:pPr>
          </w:p>
        </w:tc>
        <w:tc>
          <w:tcPr>
            <w:tcW w:w="720" w:type="dxa"/>
          </w:tcPr>
          <w:p w:rsidR="00193C23" w:rsidRPr="000B017A" w:rsidRDefault="00193C23" w:rsidP="00AC0614">
            <w:pPr>
              <w:rPr>
                <w:bCs w:val="0"/>
              </w:rPr>
            </w:pPr>
          </w:p>
        </w:tc>
        <w:tc>
          <w:tcPr>
            <w:tcW w:w="3942" w:type="dxa"/>
          </w:tcPr>
          <w:p w:rsidR="00193C23" w:rsidRPr="000B017A" w:rsidRDefault="00193C23" w:rsidP="00AC0614">
            <w:pPr>
              <w:rPr>
                <w:bCs w:val="0"/>
              </w:rPr>
            </w:pPr>
          </w:p>
        </w:tc>
      </w:tr>
      <w:tr w:rsidR="00193C23" w:rsidTr="00AC0614">
        <w:tc>
          <w:tcPr>
            <w:tcW w:w="4896" w:type="dxa"/>
            <w:gridSpan w:val="2"/>
            <w:tcBorders>
              <w:bottom w:val="single" w:sz="12" w:space="0" w:color="17365D" w:themeColor="text2" w:themeShade="BF"/>
              <w:right w:val="single" w:sz="12" w:space="0" w:color="17365D" w:themeColor="text2" w:themeShade="BF"/>
            </w:tcBorders>
            <w:vAlign w:val="center"/>
          </w:tcPr>
          <w:p w:rsidR="00193C23" w:rsidRPr="005266B8" w:rsidRDefault="00193C23" w:rsidP="00AC0614">
            <w:pPr>
              <w:jc w:val="center"/>
              <w:rPr>
                <w:rStyle w:val="BookTitle"/>
              </w:rPr>
            </w:pPr>
            <w:r w:rsidRPr="005266B8">
              <w:rPr>
                <w:rStyle w:val="BookTitle"/>
              </w:rPr>
              <w:t>Standards</w:t>
            </w:r>
          </w:p>
        </w:tc>
        <w:tc>
          <w:tcPr>
            <w:tcW w:w="4662" w:type="dxa"/>
            <w:gridSpan w:val="2"/>
            <w:tcBorders>
              <w:left w:val="single" w:sz="12" w:space="0" w:color="17365D" w:themeColor="text2" w:themeShade="BF"/>
              <w:bottom w:val="single" w:sz="12" w:space="0" w:color="17365D" w:themeColor="text2" w:themeShade="BF"/>
            </w:tcBorders>
            <w:vAlign w:val="center"/>
          </w:tcPr>
          <w:p w:rsidR="00193C23" w:rsidRPr="005266B8" w:rsidRDefault="00193C23" w:rsidP="00AC0614">
            <w:pPr>
              <w:jc w:val="center"/>
              <w:rPr>
                <w:rStyle w:val="BookTitle"/>
              </w:rPr>
            </w:pPr>
            <w:r w:rsidRPr="005266B8">
              <w:rPr>
                <w:rStyle w:val="BookTitle"/>
              </w:rPr>
              <w:t>Measures</w:t>
            </w:r>
          </w:p>
        </w:tc>
      </w:tr>
    </w:tbl>
    <w:tbl>
      <w:tblPr>
        <w:tblStyle w:val="TableGrid20"/>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158"/>
        <w:gridCol w:w="702"/>
        <w:gridCol w:w="3960"/>
      </w:tblGrid>
      <w:tr w:rsidR="005266B8" w:rsidRPr="00F81494" w:rsidTr="005266B8">
        <w:tc>
          <w:tcPr>
            <w:tcW w:w="738" w:type="dxa"/>
            <w:tcBorders>
              <w:top w:val="single" w:sz="12" w:space="0" w:color="17365D" w:themeColor="text2" w:themeShade="BF"/>
              <w:bottom w:val="single" w:sz="12" w:space="0" w:color="17365D" w:themeColor="text2" w:themeShade="BF"/>
            </w:tcBorders>
          </w:tcPr>
          <w:p w:rsidR="005266B8" w:rsidRPr="00F81494" w:rsidRDefault="005266B8" w:rsidP="005266B8">
            <w:pPr>
              <w:jc w:val="left"/>
              <w:rPr>
                <w:rFonts w:cs="Arial"/>
                <w:bCs w:val="0"/>
              </w:rPr>
            </w:pPr>
            <w:r w:rsidRPr="00F81494">
              <w:rPr>
                <w:rFonts w:cs="Arial"/>
                <w:bCs w:val="0"/>
              </w:rPr>
              <w:t>1.1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Pr="00F81494" w:rsidRDefault="005266B8" w:rsidP="005266B8">
            <w:pPr>
              <w:rPr>
                <w:rFonts w:cs="Arial"/>
              </w:rPr>
            </w:pPr>
            <w:r w:rsidRPr="00F81494">
              <w:rPr>
                <w:rFonts w:cs="Arial"/>
              </w:rPr>
              <w:t>Peer mentors shall be self-disclosed HIV+ individuals</w:t>
            </w:r>
            <w:r>
              <w:rPr>
                <w:rFonts w:cs="Arial"/>
              </w:rPr>
              <w:t>.</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Pr="00F81494" w:rsidRDefault="005266B8" w:rsidP="005266B8">
            <w:pPr>
              <w:jc w:val="left"/>
              <w:rPr>
                <w:rFonts w:cs="Arial"/>
                <w:bCs w:val="0"/>
              </w:rPr>
            </w:pPr>
            <w:r w:rsidRPr="00F81494">
              <w:rPr>
                <w:rFonts w:cs="Arial"/>
                <w:bCs w:val="0"/>
              </w:rPr>
              <w:t>1.1</w:t>
            </w:r>
          </w:p>
        </w:tc>
        <w:tc>
          <w:tcPr>
            <w:tcW w:w="3960" w:type="dxa"/>
            <w:tcBorders>
              <w:top w:val="single" w:sz="12" w:space="0" w:color="17365D" w:themeColor="text2" w:themeShade="BF"/>
              <w:bottom w:val="single" w:sz="12" w:space="0" w:color="17365D" w:themeColor="text2" w:themeShade="BF"/>
            </w:tcBorders>
          </w:tcPr>
          <w:p w:rsidR="005266B8" w:rsidRPr="00F81494" w:rsidRDefault="005266B8" w:rsidP="005266B8">
            <w:pPr>
              <w:ind w:left="8"/>
              <w:rPr>
                <w:rFonts w:eastAsia="Times New Roman" w:cs="Arial"/>
                <w:szCs w:val="24"/>
              </w:rPr>
            </w:pPr>
            <w:r w:rsidRPr="00F81494">
              <w:rPr>
                <w:rFonts w:eastAsia="Times New Roman" w:cs="Arial"/>
                <w:szCs w:val="24"/>
              </w:rPr>
              <w:t xml:space="preserve">HIV+ documentation (One of the following) </w:t>
            </w:r>
          </w:p>
          <w:p w:rsidR="005266B8" w:rsidRPr="005266B8" w:rsidRDefault="005266B8" w:rsidP="001B1B43">
            <w:pPr>
              <w:pStyle w:val="ListParagraph"/>
              <w:numPr>
                <w:ilvl w:val="0"/>
                <w:numId w:val="111"/>
              </w:numPr>
              <w:rPr>
                <w:rFonts w:eastAsia="Times New Roman" w:cs="Arial"/>
                <w:szCs w:val="24"/>
              </w:rPr>
            </w:pPr>
            <w:r w:rsidRPr="005266B8">
              <w:rPr>
                <w:rFonts w:eastAsia="Times New Roman" w:cs="Arial"/>
                <w:szCs w:val="24"/>
              </w:rPr>
              <w:t>Western Blot</w:t>
            </w:r>
          </w:p>
          <w:p w:rsidR="005266B8" w:rsidRPr="005266B8" w:rsidRDefault="005266B8" w:rsidP="001B1B43">
            <w:pPr>
              <w:pStyle w:val="ListParagraph"/>
              <w:numPr>
                <w:ilvl w:val="0"/>
                <w:numId w:val="111"/>
              </w:numPr>
              <w:rPr>
                <w:rFonts w:eastAsia="Times New Roman" w:cs="Arial"/>
                <w:szCs w:val="24"/>
              </w:rPr>
            </w:pPr>
            <w:r w:rsidRPr="005266B8">
              <w:rPr>
                <w:rFonts w:eastAsia="Times New Roman" w:cs="Arial"/>
                <w:szCs w:val="24"/>
              </w:rPr>
              <w:t>Confirmatory HIV Test Result</w:t>
            </w:r>
          </w:p>
          <w:p w:rsidR="005266B8" w:rsidRPr="005266B8" w:rsidRDefault="005266B8" w:rsidP="001B1B43">
            <w:pPr>
              <w:pStyle w:val="ListParagraph"/>
              <w:numPr>
                <w:ilvl w:val="0"/>
                <w:numId w:val="111"/>
              </w:numPr>
              <w:rPr>
                <w:rFonts w:eastAsia="Times New Roman" w:cs="Arial"/>
                <w:szCs w:val="24"/>
              </w:rPr>
            </w:pPr>
            <w:r w:rsidRPr="005266B8">
              <w:rPr>
                <w:rFonts w:eastAsia="Times New Roman" w:cs="Arial"/>
                <w:szCs w:val="24"/>
              </w:rPr>
              <w:t>Detectable viral load</w:t>
            </w:r>
          </w:p>
          <w:p w:rsidR="005266B8" w:rsidRPr="005266B8" w:rsidRDefault="005266B8" w:rsidP="001B1B43">
            <w:pPr>
              <w:pStyle w:val="ListParagraph"/>
              <w:numPr>
                <w:ilvl w:val="0"/>
                <w:numId w:val="111"/>
              </w:numPr>
              <w:rPr>
                <w:rFonts w:cs="Arial"/>
              </w:rPr>
            </w:pPr>
            <w:r w:rsidRPr="005266B8">
              <w:rPr>
                <w:rFonts w:eastAsia="Times New Roman" w:cs="Arial"/>
                <w:szCs w:val="24"/>
              </w:rPr>
              <w:t>Letter from physician</w:t>
            </w:r>
          </w:p>
          <w:p w:rsidR="005266B8" w:rsidRPr="005266B8" w:rsidRDefault="005266B8" w:rsidP="005266B8">
            <w:pPr>
              <w:pStyle w:val="ListParagraph"/>
              <w:ind w:left="728"/>
              <w:rPr>
                <w:rFonts w:cs="Arial"/>
              </w:rPr>
            </w:pPr>
          </w:p>
        </w:tc>
      </w:tr>
      <w:tr w:rsidR="005266B8" w:rsidRPr="00F81494" w:rsidTr="005266B8">
        <w:tc>
          <w:tcPr>
            <w:tcW w:w="738" w:type="dxa"/>
            <w:tcBorders>
              <w:top w:val="single" w:sz="12" w:space="0" w:color="17365D" w:themeColor="text2" w:themeShade="BF"/>
              <w:bottom w:val="single" w:sz="12" w:space="0" w:color="17365D" w:themeColor="text2" w:themeShade="BF"/>
            </w:tcBorders>
          </w:tcPr>
          <w:p w:rsidR="005266B8" w:rsidRPr="00F81494" w:rsidRDefault="005266B8" w:rsidP="005266B8">
            <w:pPr>
              <w:rPr>
                <w:rFonts w:cs="Arial"/>
                <w:bCs w:val="0"/>
              </w:rPr>
            </w:pPr>
            <w:r w:rsidRPr="00F81494">
              <w:rPr>
                <w:rFonts w:cs="Arial"/>
                <w:bCs w:val="0"/>
              </w:rPr>
              <w:t>1.2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rPr>
                <w:rFonts w:cs="Arial"/>
                <w:bCs w:val="0"/>
                <w:szCs w:val="24"/>
              </w:rPr>
            </w:pPr>
            <w:r w:rsidRPr="000D01FE">
              <w:rPr>
                <w:rFonts w:cs="Arial"/>
                <w:bCs w:val="0"/>
                <w:szCs w:val="24"/>
              </w:rPr>
              <w:t xml:space="preserve">Peer </w:t>
            </w:r>
            <w:r>
              <w:rPr>
                <w:rFonts w:cs="Arial"/>
                <w:bCs w:val="0"/>
                <w:szCs w:val="24"/>
              </w:rPr>
              <w:t>M</w:t>
            </w:r>
            <w:r w:rsidRPr="000D01FE">
              <w:rPr>
                <w:rFonts w:cs="Arial"/>
                <w:bCs w:val="0"/>
                <w:szCs w:val="24"/>
              </w:rPr>
              <w:t>entors shall complete HIV 500 training or the HIV/AIDS in the News (HIV/AIDS 101: Study Guide 2009) DVD training within six months of hire</w:t>
            </w:r>
          </w:p>
          <w:p w:rsidR="005266B8" w:rsidRPr="00F81494" w:rsidRDefault="005266B8" w:rsidP="005266B8">
            <w:pPr>
              <w:rPr>
                <w:rFonts w:cs="Arial"/>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Pr="00F81494" w:rsidRDefault="005266B8" w:rsidP="005266B8">
            <w:pPr>
              <w:rPr>
                <w:rFonts w:cs="Arial"/>
                <w:bCs w:val="0"/>
              </w:rPr>
            </w:pPr>
            <w:r w:rsidRPr="00F81494">
              <w:rPr>
                <w:rFonts w:cs="Arial"/>
                <w:bCs w:val="0"/>
              </w:rPr>
              <w:t>1.2</w:t>
            </w:r>
          </w:p>
        </w:tc>
        <w:tc>
          <w:tcPr>
            <w:tcW w:w="3960" w:type="dxa"/>
            <w:tcBorders>
              <w:top w:val="single" w:sz="12" w:space="0" w:color="17365D" w:themeColor="text2" w:themeShade="BF"/>
              <w:bottom w:val="single" w:sz="12" w:space="0" w:color="17365D" w:themeColor="text2" w:themeShade="BF"/>
            </w:tcBorders>
          </w:tcPr>
          <w:p w:rsidR="005266B8" w:rsidRPr="00F81494" w:rsidRDefault="005266B8" w:rsidP="005266B8">
            <w:pPr>
              <w:rPr>
                <w:rFonts w:cs="Arial"/>
              </w:rPr>
            </w:pPr>
            <w:r w:rsidRPr="0074758D">
              <w:rPr>
                <w:rFonts w:cs="Arial"/>
                <w:bCs w:val="0"/>
              </w:rPr>
              <w:t>Certification of Completion</w:t>
            </w:r>
            <w:r>
              <w:rPr>
                <w:rFonts w:cs="Arial"/>
                <w:bCs w:val="0"/>
              </w:rPr>
              <w:t xml:space="preserve"> in Personnel file</w:t>
            </w:r>
          </w:p>
        </w:tc>
      </w:tr>
      <w:tr w:rsidR="005266B8" w:rsidRPr="0074758D" w:rsidTr="005266B8">
        <w:tc>
          <w:tcPr>
            <w:tcW w:w="738" w:type="dxa"/>
            <w:tcBorders>
              <w:top w:val="single" w:sz="12" w:space="0" w:color="17365D" w:themeColor="text2" w:themeShade="BF"/>
              <w:bottom w:val="single" w:sz="12" w:space="0" w:color="17365D" w:themeColor="text2" w:themeShade="BF"/>
            </w:tcBorders>
          </w:tcPr>
          <w:p w:rsidR="005266B8" w:rsidRPr="00F81494" w:rsidRDefault="005266B8" w:rsidP="005266B8">
            <w:r>
              <w:t>1.3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rPr>
                <w:rFonts w:cs="Arial"/>
                <w:bCs w:val="0"/>
                <w:szCs w:val="24"/>
              </w:rPr>
            </w:pPr>
            <w:r>
              <w:rPr>
                <w:bCs w:val="0"/>
                <w:szCs w:val="24"/>
              </w:rPr>
              <w:t xml:space="preserve">Peer Mentors </w:t>
            </w:r>
            <w:r w:rsidRPr="000D01FE">
              <w:rPr>
                <w:rFonts w:cs="Arial"/>
                <w:bCs w:val="0"/>
                <w:szCs w:val="24"/>
              </w:rPr>
              <w:t xml:space="preserve">shall complete </w:t>
            </w:r>
            <w:r>
              <w:rPr>
                <w:rFonts w:cs="Arial"/>
                <w:bCs w:val="0"/>
                <w:szCs w:val="24"/>
              </w:rPr>
              <w:t xml:space="preserve">a Peer Training Program utilizing the Peer Center obtained at </w:t>
            </w:r>
            <w:hyperlink r:id="rId66" w:history="1">
              <w:r w:rsidRPr="00B02B5C">
                <w:rPr>
                  <w:rStyle w:val="Hyperlink"/>
                  <w:szCs w:val="24"/>
                </w:rPr>
                <w:t>http://www.careacttarget.org/library/peers/Description-PET-REC-7.pdf</w:t>
              </w:r>
            </w:hyperlink>
            <w:r>
              <w:rPr>
                <w:szCs w:val="24"/>
              </w:rPr>
              <w:t xml:space="preserve">, </w:t>
            </w:r>
            <w:r w:rsidRPr="000F20E7">
              <w:rPr>
                <w:rFonts w:cs="Arial"/>
                <w:bCs w:val="0"/>
                <w:szCs w:val="24"/>
              </w:rPr>
              <w:t xml:space="preserve"> </w:t>
            </w:r>
          </w:p>
          <w:p w:rsidR="005266B8" w:rsidRDefault="005266B8" w:rsidP="005266B8">
            <w:pPr>
              <w:rPr>
                <w:rFonts w:cs="Arial"/>
                <w:bCs w:val="0"/>
                <w:szCs w:val="24"/>
              </w:rPr>
            </w:pPr>
            <w:r w:rsidRPr="000F20E7">
              <w:rPr>
                <w:rFonts w:cs="Arial"/>
                <w:bCs w:val="0"/>
                <w:szCs w:val="24"/>
              </w:rPr>
              <w:t xml:space="preserve">AETC or equivalent source approved by the </w:t>
            </w:r>
            <w:r>
              <w:rPr>
                <w:rFonts w:cs="Arial"/>
                <w:bCs w:val="0"/>
                <w:szCs w:val="24"/>
              </w:rPr>
              <w:t>Grantee</w:t>
            </w:r>
            <w:r w:rsidRPr="000F20E7">
              <w:rPr>
                <w:rFonts w:cs="Arial"/>
                <w:bCs w:val="0"/>
                <w:szCs w:val="24"/>
              </w:rPr>
              <w:t xml:space="preserve">’s Office </w:t>
            </w:r>
          </w:p>
          <w:p w:rsidR="005266B8" w:rsidRPr="000D01FE" w:rsidRDefault="005266B8" w:rsidP="005266B8">
            <w:pPr>
              <w:rPr>
                <w:bCs w:val="0"/>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Pr="00F81494" w:rsidRDefault="005266B8" w:rsidP="005266B8">
            <w:r>
              <w:lastRenderedPageBreak/>
              <w:t>1.3</w:t>
            </w:r>
          </w:p>
        </w:tc>
        <w:tc>
          <w:tcPr>
            <w:tcW w:w="3960" w:type="dxa"/>
            <w:tcBorders>
              <w:top w:val="single" w:sz="12" w:space="0" w:color="17365D" w:themeColor="text2" w:themeShade="BF"/>
              <w:bottom w:val="single" w:sz="12" w:space="0" w:color="17365D" w:themeColor="text2" w:themeShade="BF"/>
            </w:tcBorders>
          </w:tcPr>
          <w:p w:rsidR="005266B8" w:rsidRPr="0074758D" w:rsidRDefault="005266B8" w:rsidP="005266B8">
            <w:pPr>
              <w:rPr>
                <w:bCs w:val="0"/>
              </w:rPr>
            </w:pPr>
            <w:r>
              <w:rPr>
                <w:bCs w:val="0"/>
              </w:rPr>
              <w:t>Certification of Completion</w:t>
            </w:r>
            <w:r>
              <w:t xml:space="preserve"> </w:t>
            </w:r>
            <w:r w:rsidRPr="00267E8D">
              <w:rPr>
                <w:bCs w:val="0"/>
              </w:rPr>
              <w:t>in Personnel file</w:t>
            </w:r>
          </w:p>
        </w:tc>
      </w:tr>
      <w:tr w:rsidR="005266B8" w:rsidTr="005266B8">
        <w:tc>
          <w:tcPr>
            <w:tcW w:w="738" w:type="dxa"/>
            <w:tcBorders>
              <w:top w:val="single" w:sz="12" w:space="0" w:color="17365D" w:themeColor="text2" w:themeShade="BF"/>
              <w:bottom w:val="single" w:sz="12" w:space="0" w:color="17365D" w:themeColor="text2" w:themeShade="BF"/>
            </w:tcBorders>
          </w:tcPr>
          <w:p w:rsidR="005266B8" w:rsidRDefault="005266B8" w:rsidP="005266B8">
            <w:r>
              <w:lastRenderedPageBreak/>
              <w:t>1.4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rPr>
                <w:rFonts w:eastAsia="Times New Roman"/>
                <w:szCs w:val="24"/>
              </w:rPr>
            </w:pPr>
            <w:r>
              <w:rPr>
                <w:bCs w:val="0"/>
                <w:szCs w:val="24"/>
              </w:rPr>
              <w:t xml:space="preserve">The </w:t>
            </w:r>
            <w:r w:rsidRPr="000F20E7">
              <w:rPr>
                <w:rFonts w:eastAsia="Times New Roman"/>
                <w:szCs w:val="24"/>
              </w:rPr>
              <w:t>agency shall maintain information about each peer</w:t>
            </w:r>
            <w:r>
              <w:rPr>
                <w:rFonts w:eastAsia="Times New Roman"/>
                <w:szCs w:val="24"/>
              </w:rPr>
              <w:t>’</w:t>
            </w:r>
            <w:r w:rsidRPr="000F20E7">
              <w:rPr>
                <w:rFonts w:eastAsia="Times New Roman"/>
                <w:szCs w:val="24"/>
              </w:rPr>
              <w:t xml:space="preserve">s case load, which includes at </w:t>
            </w:r>
            <w:r>
              <w:rPr>
                <w:rFonts w:eastAsia="Times New Roman"/>
                <w:szCs w:val="24"/>
              </w:rPr>
              <w:t>a</w:t>
            </w:r>
            <w:r w:rsidRPr="000F20E7">
              <w:rPr>
                <w:rFonts w:eastAsia="Times New Roman"/>
                <w:szCs w:val="24"/>
              </w:rPr>
              <w:t xml:space="preserve"> minimum:</w:t>
            </w:r>
          </w:p>
          <w:p w:rsidR="005266B8" w:rsidRPr="005266B8" w:rsidRDefault="005266B8" w:rsidP="001B1B43">
            <w:pPr>
              <w:pStyle w:val="ListParagraph"/>
              <w:numPr>
                <w:ilvl w:val="0"/>
                <w:numId w:val="112"/>
              </w:numPr>
              <w:rPr>
                <w:rFonts w:eastAsia="Times New Roman"/>
                <w:szCs w:val="24"/>
              </w:rPr>
            </w:pPr>
            <w:r w:rsidRPr="005266B8">
              <w:rPr>
                <w:rFonts w:eastAsia="Times New Roman"/>
                <w:szCs w:val="24"/>
              </w:rPr>
              <w:t>Assigned peer mentor</w:t>
            </w:r>
          </w:p>
          <w:p w:rsidR="005266B8" w:rsidRPr="005266B8" w:rsidRDefault="005266B8" w:rsidP="001B1B43">
            <w:pPr>
              <w:pStyle w:val="ListParagraph"/>
              <w:numPr>
                <w:ilvl w:val="0"/>
                <w:numId w:val="112"/>
              </w:numPr>
              <w:rPr>
                <w:bCs w:val="0"/>
                <w:szCs w:val="24"/>
              </w:rPr>
            </w:pPr>
            <w:r w:rsidRPr="005266B8">
              <w:rPr>
                <w:rFonts w:eastAsia="Times New Roman"/>
                <w:szCs w:val="24"/>
              </w:rPr>
              <w:t>Number of cases per full time equivalent FTE</w:t>
            </w:r>
          </w:p>
          <w:p w:rsidR="005266B8" w:rsidRPr="005266B8" w:rsidRDefault="005266B8" w:rsidP="005266B8">
            <w:pPr>
              <w:pStyle w:val="ListParagraph"/>
              <w:rPr>
                <w:bCs w:val="0"/>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r>
              <w:t>1.4</w:t>
            </w:r>
          </w:p>
        </w:tc>
        <w:tc>
          <w:tcPr>
            <w:tcW w:w="3960" w:type="dxa"/>
            <w:tcBorders>
              <w:top w:val="single" w:sz="12" w:space="0" w:color="17365D" w:themeColor="text2" w:themeShade="BF"/>
              <w:bottom w:val="single" w:sz="12" w:space="0" w:color="17365D" w:themeColor="text2" w:themeShade="BF"/>
            </w:tcBorders>
          </w:tcPr>
          <w:p w:rsidR="005266B8" w:rsidRDefault="005266B8" w:rsidP="005266B8">
            <w:pPr>
              <w:rPr>
                <w:bCs w:val="0"/>
              </w:rPr>
            </w:pPr>
            <w:r>
              <w:rPr>
                <w:bCs w:val="0"/>
              </w:rPr>
              <w:t>Documentation in agency records</w:t>
            </w:r>
          </w:p>
        </w:tc>
      </w:tr>
      <w:tr w:rsidR="005266B8" w:rsidTr="005266B8">
        <w:tc>
          <w:tcPr>
            <w:tcW w:w="738" w:type="dxa"/>
            <w:tcBorders>
              <w:top w:val="single" w:sz="12" w:space="0" w:color="17365D" w:themeColor="text2" w:themeShade="BF"/>
              <w:bottom w:val="single" w:sz="12" w:space="0" w:color="17365D" w:themeColor="text2" w:themeShade="BF"/>
            </w:tcBorders>
          </w:tcPr>
          <w:p w:rsidR="005266B8" w:rsidRDefault="005266B8" w:rsidP="005266B8">
            <w:r>
              <w:t>1.5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rPr>
                <w:bCs w:val="0"/>
                <w:szCs w:val="24"/>
              </w:rPr>
            </w:pPr>
            <w:r>
              <w:rPr>
                <w:bCs w:val="0"/>
                <w:szCs w:val="24"/>
              </w:rPr>
              <w:t>Peer Mentors shall receive 15 hours of training annually and topics shall include:</w:t>
            </w:r>
          </w:p>
          <w:p w:rsidR="005266B8" w:rsidRPr="005266B8" w:rsidRDefault="005266B8" w:rsidP="001B1B43">
            <w:pPr>
              <w:pStyle w:val="ListParagraph"/>
              <w:numPr>
                <w:ilvl w:val="0"/>
                <w:numId w:val="113"/>
              </w:numPr>
              <w:rPr>
                <w:szCs w:val="24"/>
              </w:rPr>
            </w:pPr>
            <w:r w:rsidRPr="005266B8">
              <w:rPr>
                <w:szCs w:val="24"/>
              </w:rPr>
              <w:t>Establishing rapport and a professional relationship with the consumer;</w:t>
            </w:r>
          </w:p>
          <w:p w:rsidR="005266B8" w:rsidRPr="005266B8" w:rsidRDefault="005266B8" w:rsidP="001B1B43">
            <w:pPr>
              <w:pStyle w:val="ListParagraph"/>
              <w:numPr>
                <w:ilvl w:val="0"/>
                <w:numId w:val="113"/>
              </w:numPr>
              <w:rPr>
                <w:szCs w:val="24"/>
              </w:rPr>
            </w:pPr>
            <w:r w:rsidRPr="005266B8">
              <w:rPr>
                <w:szCs w:val="24"/>
              </w:rPr>
              <w:t>Methods of engaging individuals and families;</w:t>
            </w:r>
          </w:p>
          <w:p w:rsidR="005266B8" w:rsidRPr="005266B8" w:rsidRDefault="005266B8" w:rsidP="001B1B43">
            <w:pPr>
              <w:pStyle w:val="ListParagraph"/>
              <w:numPr>
                <w:ilvl w:val="0"/>
                <w:numId w:val="113"/>
              </w:numPr>
              <w:rPr>
                <w:szCs w:val="24"/>
              </w:rPr>
            </w:pPr>
            <w:r w:rsidRPr="005266B8">
              <w:rPr>
                <w:szCs w:val="24"/>
              </w:rPr>
              <w:t>Special issues relating to working with the HIV/AIDS affected/infected Population;</w:t>
            </w:r>
          </w:p>
          <w:p w:rsidR="005266B8" w:rsidRPr="005266B8" w:rsidRDefault="005266B8" w:rsidP="001B1B43">
            <w:pPr>
              <w:pStyle w:val="ListParagraph"/>
              <w:numPr>
                <w:ilvl w:val="0"/>
                <w:numId w:val="113"/>
              </w:numPr>
              <w:rPr>
                <w:szCs w:val="24"/>
              </w:rPr>
            </w:pPr>
            <w:r w:rsidRPr="005266B8">
              <w:rPr>
                <w:szCs w:val="24"/>
              </w:rPr>
              <w:t>Confidentiality/HIPAA and professional ethics;</w:t>
            </w:r>
          </w:p>
          <w:p w:rsidR="005266B8" w:rsidRPr="005266B8" w:rsidRDefault="005266B8" w:rsidP="001B1B43">
            <w:pPr>
              <w:pStyle w:val="ListParagraph"/>
              <w:numPr>
                <w:ilvl w:val="0"/>
                <w:numId w:val="113"/>
              </w:numPr>
              <w:rPr>
                <w:szCs w:val="24"/>
              </w:rPr>
            </w:pPr>
            <w:r w:rsidRPr="005266B8">
              <w:rPr>
                <w:szCs w:val="24"/>
              </w:rPr>
              <w:t>Knowledge of public assistance programs, eligibility requirements, and benefits; and</w:t>
            </w:r>
          </w:p>
          <w:p w:rsidR="005266B8" w:rsidRPr="005266B8" w:rsidRDefault="005266B8" w:rsidP="001B1B43">
            <w:pPr>
              <w:pStyle w:val="ListParagraph"/>
              <w:numPr>
                <w:ilvl w:val="0"/>
                <w:numId w:val="113"/>
              </w:numPr>
              <w:rPr>
                <w:szCs w:val="24"/>
              </w:rPr>
            </w:pPr>
            <w:r w:rsidRPr="005266B8">
              <w:rPr>
                <w:szCs w:val="24"/>
              </w:rPr>
              <w:t>The Agency’s emergency plan, disaster relief resources, and planning and procedures.</w:t>
            </w:r>
          </w:p>
          <w:p w:rsidR="005266B8" w:rsidRDefault="005266B8" w:rsidP="005266B8">
            <w:pPr>
              <w:pStyle w:val="ListParagraph"/>
              <w:ind w:left="360"/>
              <w:rPr>
                <w:szCs w:val="24"/>
              </w:rPr>
            </w:pPr>
          </w:p>
          <w:p w:rsidR="005266B8" w:rsidRDefault="005266B8" w:rsidP="005266B8">
            <w:pPr>
              <w:rPr>
                <w:szCs w:val="24"/>
              </w:rPr>
            </w:pPr>
            <w:r w:rsidRPr="001B51BE">
              <w:rPr>
                <w:szCs w:val="24"/>
              </w:rPr>
              <w:t>Training shall also include, but not be limited to, cultural sensitivity issues, case management issues, bio-psychosocial issues surroun</w:t>
            </w:r>
            <w:r w:rsidRPr="00E71F99">
              <w:rPr>
                <w:szCs w:val="24"/>
              </w:rPr>
              <w:t>ding the HIV disease, and any other training proposed by the Recipient.</w:t>
            </w:r>
          </w:p>
          <w:p w:rsidR="005266B8" w:rsidRPr="00394AA2" w:rsidRDefault="005266B8" w:rsidP="005266B8">
            <w:pPr>
              <w:rPr>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r>
              <w:t>1.5</w:t>
            </w:r>
          </w:p>
        </w:tc>
        <w:tc>
          <w:tcPr>
            <w:tcW w:w="3960" w:type="dxa"/>
            <w:tcBorders>
              <w:top w:val="single" w:sz="12" w:space="0" w:color="17365D" w:themeColor="text2" w:themeShade="BF"/>
              <w:bottom w:val="single" w:sz="12" w:space="0" w:color="17365D" w:themeColor="text2" w:themeShade="BF"/>
            </w:tcBorders>
          </w:tcPr>
          <w:p w:rsidR="005266B8" w:rsidRDefault="005266B8" w:rsidP="005266B8">
            <w:pPr>
              <w:rPr>
                <w:bCs w:val="0"/>
              </w:rPr>
            </w:pPr>
            <w:r>
              <w:rPr>
                <w:bCs w:val="0"/>
              </w:rPr>
              <w:t>Documentation of the training subject matter, date(s) of attendance, and hours in training shall be in the training record. Training Certificates shall be in the personnel file.</w:t>
            </w:r>
          </w:p>
        </w:tc>
      </w:tr>
      <w:tr w:rsidR="005266B8" w:rsidTr="005266B8">
        <w:tc>
          <w:tcPr>
            <w:tcW w:w="738" w:type="dxa"/>
            <w:tcBorders>
              <w:top w:val="single" w:sz="12" w:space="0" w:color="17365D" w:themeColor="text2" w:themeShade="BF"/>
              <w:bottom w:val="single" w:sz="12" w:space="0" w:color="17365D" w:themeColor="text2" w:themeShade="BF"/>
            </w:tcBorders>
          </w:tcPr>
          <w:p w:rsidR="005266B8" w:rsidRDefault="005266B8" w:rsidP="005266B8">
            <w:r>
              <w:t>1.6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rPr>
                <w:bCs w:val="0"/>
                <w:szCs w:val="24"/>
              </w:rPr>
            </w:pPr>
            <w:r>
              <w:rPr>
                <w:bCs w:val="0"/>
                <w:szCs w:val="24"/>
              </w:rPr>
              <w:t>Peer Mentor Supervisors shall, at a minimum, meet the following:</w:t>
            </w:r>
          </w:p>
          <w:p w:rsidR="005266B8" w:rsidRPr="005266B8" w:rsidRDefault="005266B8" w:rsidP="001B1B43">
            <w:pPr>
              <w:pStyle w:val="ListParagraph"/>
              <w:numPr>
                <w:ilvl w:val="0"/>
                <w:numId w:val="110"/>
              </w:numPr>
              <w:rPr>
                <w:szCs w:val="24"/>
              </w:rPr>
            </w:pPr>
            <w:r w:rsidRPr="0060147A">
              <w:rPr>
                <w:rFonts w:cs="Arial"/>
                <w:szCs w:val="24"/>
              </w:rPr>
              <w:t xml:space="preserve">Hold a Bachelor’s level professional degree in the field of mental health, social work, counseling, social science, or </w:t>
            </w:r>
            <w:r w:rsidRPr="0060147A">
              <w:rPr>
                <w:rFonts w:cs="Arial"/>
                <w:szCs w:val="24"/>
              </w:rPr>
              <w:lastRenderedPageBreak/>
              <w:t>nursing; (Master’s level Degree preferred).</w:t>
            </w:r>
            <w:r>
              <w:rPr>
                <w:rFonts w:cs="Arial"/>
                <w:szCs w:val="24"/>
              </w:rPr>
              <w:t xml:space="preserve"> </w:t>
            </w:r>
          </w:p>
          <w:p w:rsidR="005266B8" w:rsidRDefault="005266B8" w:rsidP="005266B8">
            <w:pPr>
              <w:rPr>
                <w:rFonts w:cs="Arial"/>
                <w:b/>
                <w:szCs w:val="24"/>
              </w:rPr>
            </w:pPr>
          </w:p>
          <w:p w:rsidR="005266B8" w:rsidRPr="005266B8" w:rsidRDefault="005266B8" w:rsidP="005266B8">
            <w:pPr>
              <w:rPr>
                <w:rFonts w:cs="Arial"/>
                <w:b/>
                <w:sz w:val="22"/>
                <w:szCs w:val="24"/>
              </w:rPr>
            </w:pPr>
            <w:r w:rsidRPr="005266B8">
              <w:rPr>
                <w:rFonts w:cs="Arial"/>
                <w:b/>
                <w:sz w:val="22"/>
                <w:szCs w:val="24"/>
              </w:rPr>
              <w:t>Note: This requirement may be waived by the Recipient.</w:t>
            </w:r>
          </w:p>
          <w:p w:rsidR="005266B8" w:rsidRPr="005266B8" w:rsidRDefault="005266B8" w:rsidP="005266B8">
            <w:pPr>
              <w:rPr>
                <w:szCs w:val="24"/>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r>
              <w:lastRenderedPageBreak/>
              <w:t>1.6</w:t>
            </w:r>
          </w:p>
        </w:tc>
        <w:tc>
          <w:tcPr>
            <w:tcW w:w="3960" w:type="dxa"/>
            <w:tcBorders>
              <w:top w:val="single" w:sz="12" w:space="0" w:color="17365D" w:themeColor="text2" w:themeShade="BF"/>
              <w:bottom w:val="single" w:sz="12" w:space="0" w:color="17365D" w:themeColor="text2" w:themeShade="BF"/>
            </w:tcBorders>
          </w:tcPr>
          <w:p w:rsidR="005266B8" w:rsidRDefault="005266B8" w:rsidP="005266B8">
            <w:pPr>
              <w:rPr>
                <w:bCs w:val="0"/>
              </w:rPr>
            </w:pPr>
            <w:r>
              <w:rPr>
                <w:bCs w:val="0"/>
              </w:rPr>
              <w:t>Appropriate degree, licensure and/or certification in personnel file.</w:t>
            </w:r>
          </w:p>
        </w:tc>
      </w:tr>
    </w:tbl>
    <w:p w:rsidR="00193C23" w:rsidRDefault="00193C23" w:rsidP="00193C23">
      <w:pPr>
        <w:spacing w:after="0" w:line="240" w:lineRule="auto"/>
        <w:jc w:val="both"/>
        <w:rPr>
          <w:rFonts w:ascii="Arial" w:hAnsi="Arial" w:cs="Arial"/>
          <w:sz w:val="24"/>
        </w:rPr>
      </w:pPr>
    </w:p>
    <w:tbl>
      <w:tblPr>
        <w:tblStyle w:val="TableGrid19"/>
        <w:tblW w:w="9576" w:type="dxa"/>
        <w:tblLayout w:type="fixed"/>
        <w:tblLook w:val="04A0" w:firstRow="1" w:lastRow="0" w:firstColumn="1" w:lastColumn="0" w:noHBand="0" w:noVBand="1"/>
      </w:tblPr>
      <w:tblGrid>
        <w:gridCol w:w="9576"/>
      </w:tblGrid>
      <w:tr w:rsidR="005266B8" w:rsidRPr="00F8308B" w:rsidTr="005266B8">
        <w:tc>
          <w:tcPr>
            <w:tcW w:w="9576" w:type="dxa"/>
            <w:tcBorders>
              <w:top w:val="single" w:sz="12" w:space="0" w:color="0F243E" w:themeColor="text2" w:themeShade="80"/>
              <w:left w:val="nil"/>
              <w:bottom w:val="single" w:sz="12" w:space="0" w:color="0F243E" w:themeColor="text2" w:themeShade="80"/>
              <w:right w:val="nil"/>
            </w:tcBorders>
          </w:tcPr>
          <w:p w:rsidR="005266B8" w:rsidRPr="00F8308B" w:rsidRDefault="005266B8" w:rsidP="005266B8">
            <w:pPr>
              <w:pStyle w:val="Heading3"/>
              <w:spacing w:before="0"/>
              <w:outlineLvl w:val="2"/>
            </w:pPr>
            <w:bookmarkStart w:id="101" w:name="_Toc489280932"/>
            <w:r w:rsidRPr="005266B8">
              <w:rPr>
                <w:sz w:val="28"/>
              </w:rPr>
              <w:t>2.0 Responsibility of Peer Mentor Agencies</w:t>
            </w:r>
            <w:bookmarkEnd w:id="101"/>
          </w:p>
        </w:tc>
      </w:tr>
    </w:tbl>
    <w:p w:rsidR="005266B8" w:rsidRDefault="005266B8" w:rsidP="00193C23">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5266B8" w:rsidTr="005266B8">
        <w:tc>
          <w:tcPr>
            <w:tcW w:w="9576" w:type="dxa"/>
            <w:tcBorders>
              <w:top w:val="nil"/>
              <w:left w:val="nil"/>
              <w:bottom w:val="nil"/>
              <w:right w:val="nil"/>
            </w:tcBorders>
          </w:tcPr>
          <w:p w:rsidR="005266B8" w:rsidRDefault="005266B8" w:rsidP="00193C23">
            <w:pPr>
              <w:rPr>
                <w:rFonts w:cs="Arial"/>
              </w:rPr>
            </w:pPr>
            <w:r w:rsidRPr="005266B8">
              <w:rPr>
                <w:rFonts w:cs="Arial"/>
              </w:rPr>
              <w:t>The purpose of the Responsibility of Peer Mentor agencies is to establish the scope of work for the coordination of psychosocial support</w:t>
            </w:r>
          </w:p>
        </w:tc>
      </w:tr>
    </w:tbl>
    <w:p w:rsidR="005266B8" w:rsidRDefault="005266B8" w:rsidP="00193C23">
      <w:pPr>
        <w:spacing w:after="0" w:line="240" w:lineRule="auto"/>
        <w:jc w:val="both"/>
        <w:rPr>
          <w:rFonts w:ascii="Arial" w:hAnsi="Arial" w:cs="Arial"/>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5266B8" w:rsidRPr="000B017A" w:rsidTr="005266B8">
        <w:tc>
          <w:tcPr>
            <w:tcW w:w="9558" w:type="dxa"/>
            <w:gridSpan w:val="6"/>
            <w:shd w:val="clear" w:color="auto" w:fill="17365D" w:themeFill="text2" w:themeFillShade="BF"/>
          </w:tcPr>
          <w:p w:rsidR="005266B8" w:rsidRPr="000B017A" w:rsidRDefault="005266B8" w:rsidP="005266B8">
            <w:pPr>
              <w:pStyle w:val="Heading4"/>
              <w:spacing w:before="0"/>
              <w:outlineLvl w:val="3"/>
              <w:rPr>
                <w:bCs/>
              </w:rPr>
            </w:pPr>
            <w:r w:rsidRPr="005266B8">
              <w:rPr>
                <w:color w:val="FFFFFF" w:themeColor="background1"/>
                <w:sz w:val="28"/>
              </w:rPr>
              <w:t>2.0 Responsibility of Peer Mentor Agencies</w:t>
            </w:r>
          </w:p>
        </w:tc>
      </w:tr>
      <w:tr w:rsidR="005266B8" w:rsidRPr="000B017A" w:rsidTr="005266B8">
        <w:tc>
          <w:tcPr>
            <w:tcW w:w="720" w:type="dxa"/>
          </w:tcPr>
          <w:p w:rsidR="005266B8" w:rsidRPr="000B017A" w:rsidRDefault="005266B8" w:rsidP="005266B8">
            <w:pPr>
              <w:rPr>
                <w:bCs w:val="0"/>
              </w:rPr>
            </w:pPr>
          </w:p>
        </w:tc>
        <w:tc>
          <w:tcPr>
            <w:tcW w:w="4176" w:type="dxa"/>
            <w:gridSpan w:val="2"/>
          </w:tcPr>
          <w:p w:rsidR="005266B8" w:rsidRPr="000B017A" w:rsidRDefault="005266B8" w:rsidP="005266B8">
            <w:pPr>
              <w:rPr>
                <w:bCs w:val="0"/>
              </w:rPr>
            </w:pPr>
          </w:p>
        </w:tc>
        <w:tc>
          <w:tcPr>
            <w:tcW w:w="720" w:type="dxa"/>
            <w:gridSpan w:val="2"/>
          </w:tcPr>
          <w:p w:rsidR="005266B8" w:rsidRPr="000B017A" w:rsidRDefault="005266B8" w:rsidP="005266B8">
            <w:pPr>
              <w:rPr>
                <w:bCs w:val="0"/>
              </w:rPr>
            </w:pPr>
          </w:p>
        </w:tc>
        <w:tc>
          <w:tcPr>
            <w:tcW w:w="3942" w:type="dxa"/>
          </w:tcPr>
          <w:p w:rsidR="005266B8" w:rsidRPr="000B017A" w:rsidRDefault="005266B8" w:rsidP="005266B8">
            <w:pPr>
              <w:rPr>
                <w:bCs w:val="0"/>
              </w:rPr>
            </w:pPr>
          </w:p>
        </w:tc>
      </w:tr>
      <w:tr w:rsidR="005266B8" w:rsidTr="005266B8">
        <w:tc>
          <w:tcPr>
            <w:tcW w:w="4896" w:type="dxa"/>
            <w:gridSpan w:val="3"/>
            <w:tcBorders>
              <w:bottom w:val="single" w:sz="12" w:space="0" w:color="17365D" w:themeColor="text2" w:themeShade="BF"/>
              <w:right w:val="single" w:sz="12" w:space="0" w:color="17365D" w:themeColor="text2" w:themeShade="BF"/>
            </w:tcBorders>
            <w:vAlign w:val="center"/>
          </w:tcPr>
          <w:p w:rsidR="005266B8" w:rsidRPr="005266B8" w:rsidRDefault="005266B8" w:rsidP="005266B8">
            <w:pPr>
              <w:jc w:val="center"/>
              <w:rPr>
                <w:rStyle w:val="BookTitle"/>
              </w:rPr>
            </w:pPr>
            <w:r w:rsidRPr="005266B8">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5266B8" w:rsidRPr="005266B8" w:rsidRDefault="005266B8" w:rsidP="005266B8">
            <w:pPr>
              <w:jc w:val="center"/>
              <w:rPr>
                <w:rStyle w:val="BookTitle"/>
              </w:rPr>
            </w:pPr>
            <w:r w:rsidRPr="005266B8">
              <w:rPr>
                <w:rStyle w:val="BookTitle"/>
              </w:rPr>
              <w:t>Measures</w:t>
            </w:r>
          </w:p>
        </w:tc>
      </w:tr>
      <w:tr w:rsidR="005266B8" w:rsidRPr="00165C96"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pPr>
              <w:jc w:val="left"/>
              <w:rPr>
                <w:bCs w:val="0"/>
              </w:rPr>
            </w:pPr>
            <w:r>
              <w:rPr>
                <w:bCs w:val="0"/>
              </w:rPr>
              <w:t>2.1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vAlign w:val="center"/>
          </w:tcPr>
          <w:p w:rsidR="005266B8" w:rsidRPr="00060CA7" w:rsidRDefault="005266B8" w:rsidP="005266B8">
            <w:pPr>
              <w:rPr>
                <w:rFonts w:eastAsia="Times New Roman"/>
                <w:szCs w:val="24"/>
              </w:rPr>
            </w:pPr>
            <w:r w:rsidRPr="00060CA7">
              <w:rPr>
                <w:rFonts w:eastAsia="Times New Roman"/>
                <w:szCs w:val="24"/>
              </w:rPr>
              <w:t>Peer Mentors shall assess the consumer’s knowledge/function  and provide guidance in the following areas:</w:t>
            </w:r>
          </w:p>
          <w:p w:rsidR="005266B8" w:rsidRPr="005266B8" w:rsidRDefault="005266B8" w:rsidP="001B1B43">
            <w:pPr>
              <w:pStyle w:val="ListParagraph"/>
              <w:numPr>
                <w:ilvl w:val="0"/>
                <w:numId w:val="110"/>
              </w:numPr>
              <w:ind w:left="504"/>
              <w:rPr>
                <w:rFonts w:eastAsia="Times New Roman"/>
                <w:szCs w:val="24"/>
              </w:rPr>
            </w:pPr>
            <w:r w:rsidRPr="005266B8">
              <w:rPr>
                <w:rFonts w:eastAsia="Times New Roman"/>
                <w:szCs w:val="24"/>
              </w:rPr>
              <w:t>Adherence/compliance</w:t>
            </w:r>
          </w:p>
          <w:p w:rsidR="005266B8" w:rsidRPr="005266B8" w:rsidRDefault="005266B8" w:rsidP="001B1B43">
            <w:pPr>
              <w:pStyle w:val="ListParagraph"/>
              <w:numPr>
                <w:ilvl w:val="0"/>
                <w:numId w:val="110"/>
              </w:numPr>
              <w:ind w:left="504"/>
              <w:rPr>
                <w:rFonts w:eastAsia="Times New Roman"/>
                <w:szCs w:val="24"/>
              </w:rPr>
            </w:pPr>
            <w:r w:rsidRPr="005266B8">
              <w:rPr>
                <w:rFonts w:eastAsia="Times New Roman"/>
                <w:szCs w:val="24"/>
              </w:rPr>
              <w:t>Education</w:t>
            </w:r>
          </w:p>
          <w:p w:rsidR="005266B8" w:rsidRPr="005266B8" w:rsidRDefault="005266B8" w:rsidP="001B1B43">
            <w:pPr>
              <w:pStyle w:val="ListParagraph"/>
              <w:numPr>
                <w:ilvl w:val="0"/>
                <w:numId w:val="110"/>
              </w:numPr>
              <w:ind w:left="504"/>
              <w:rPr>
                <w:rFonts w:eastAsia="Times New Roman"/>
                <w:szCs w:val="24"/>
              </w:rPr>
            </w:pPr>
            <w:r w:rsidRPr="005266B8">
              <w:rPr>
                <w:rFonts w:eastAsia="Times New Roman"/>
                <w:szCs w:val="24"/>
              </w:rPr>
              <w:t>Support</w:t>
            </w:r>
          </w:p>
          <w:p w:rsidR="005266B8" w:rsidRPr="005266B8" w:rsidRDefault="005266B8" w:rsidP="001B1B43">
            <w:pPr>
              <w:pStyle w:val="ListParagraph"/>
              <w:numPr>
                <w:ilvl w:val="0"/>
                <w:numId w:val="110"/>
              </w:numPr>
              <w:ind w:left="504"/>
              <w:rPr>
                <w:rFonts w:eastAsia="Times New Roman"/>
                <w:szCs w:val="24"/>
              </w:rPr>
            </w:pPr>
            <w:r w:rsidRPr="005266B8">
              <w:rPr>
                <w:rFonts w:eastAsia="Times New Roman"/>
                <w:szCs w:val="24"/>
              </w:rPr>
              <w:t>Navigating the system</w:t>
            </w:r>
          </w:p>
          <w:p w:rsidR="005266B8" w:rsidRPr="005266B8" w:rsidRDefault="005266B8" w:rsidP="001B1B43">
            <w:pPr>
              <w:pStyle w:val="ListParagraph"/>
              <w:numPr>
                <w:ilvl w:val="0"/>
                <w:numId w:val="110"/>
              </w:numPr>
              <w:ind w:left="504"/>
              <w:rPr>
                <w:rFonts w:eastAsia="Times New Roman"/>
                <w:szCs w:val="24"/>
              </w:rPr>
            </w:pPr>
            <w:r w:rsidRPr="005266B8">
              <w:rPr>
                <w:rFonts w:eastAsia="Times New Roman"/>
                <w:szCs w:val="24"/>
              </w:rPr>
              <w:t>Advocacy</w:t>
            </w:r>
          </w:p>
          <w:p w:rsidR="005266B8" w:rsidRDefault="005266B8" w:rsidP="005266B8">
            <w:pPr>
              <w:jc w:val="left"/>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pPr>
              <w:jc w:val="left"/>
              <w:rPr>
                <w:bCs w:val="0"/>
              </w:rPr>
            </w:pPr>
            <w:r>
              <w:rPr>
                <w:bCs w:val="0"/>
              </w:rPr>
              <w:t>2.1</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pPr>
              <w:jc w:val="left"/>
            </w:pPr>
            <w:r w:rsidRPr="00653AC0">
              <w:rPr>
                <w:rFonts w:cs="Arial"/>
                <w:szCs w:val="24"/>
              </w:rPr>
              <w:t xml:space="preserve">Documentation in </w:t>
            </w:r>
            <w:r>
              <w:rPr>
                <w:rFonts w:cs="Arial"/>
                <w:szCs w:val="24"/>
              </w:rPr>
              <w:t>Provide Enterprise (PE)</w:t>
            </w:r>
            <w:r w:rsidRPr="00653AC0">
              <w:rPr>
                <w:rFonts w:cs="Arial"/>
                <w:szCs w:val="24"/>
              </w:rPr>
              <w:t xml:space="preserve"> of </w:t>
            </w:r>
            <w:r>
              <w:rPr>
                <w:rFonts w:cs="Arial"/>
                <w:szCs w:val="24"/>
              </w:rPr>
              <w:t>the completed Ryan White</w:t>
            </w:r>
            <w:r w:rsidRPr="00653AC0">
              <w:rPr>
                <w:rFonts w:cs="Arial"/>
                <w:szCs w:val="24"/>
              </w:rPr>
              <w:t xml:space="preserve"> Quality of Life and Knowledge Assessment.</w:t>
            </w:r>
          </w:p>
        </w:tc>
      </w:tr>
      <w:tr w:rsidR="005266B8" w:rsidRPr="000D3A4C"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pPr>
              <w:jc w:val="left"/>
              <w:rPr>
                <w:bCs w:val="0"/>
              </w:rPr>
            </w:pPr>
            <w:r>
              <w:rPr>
                <w:bCs w:val="0"/>
              </w:rPr>
              <w:t>2.2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360"/>
                <w:tab w:val="left" w:pos="1170"/>
              </w:tabs>
            </w:pPr>
            <w:r>
              <w:t>Peer Mentor Agencies shall ensure that Peer Mentors receive a copy of the consumer’s Case Management Care Plan to facilitate needs and service coordination.</w:t>
            </w:r>
          </w:p>
          <w:p w:rsidR="005266B8" w:rsidRDefault="005266B8" w:rsidP="005266B8">
            <w:pPr>
              <w:tabs>
                <w:tab w:val="left" w:pos="360"/>
                <w:tab w:val="left" w:pos="1170"/>
              </w:tabs>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pPr>
              <w:jc w:val="left"/>
              <w:rPr>
                <w:bCs w:val="0"/>
              </w:rPr>
            </w:pPr>
            <w:r>
              <w:rPr>
                <w:bCs w:val="0"/>
              </w:rPr>
              <w:t>2.2</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pPr>
              <w:jc w:val="left"/>
            </w:pPr>
            <w:r>
              <w:t>Copy of Case Management Care plan documented in PE file.</w:t>
            </w:r>
          </w:p>
        </w:tc>
      </w:tr>
      <w:tr w:rsidR="005266B8"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pPr>
              <w:rPr>
                <w:bCs w:val="0"/>
              </w:rPr>
            </w:pPr>
            <w:r>
              <w:rPr>
                <w:bCs w:val="0"/>
              </w:rPr>
              <w:t>2.3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 w:val="left" w:pos="342"/>
              </w:tabs>
            </w:pPr>
            <w:r>
              <w:t>The Agency shall maintain documentation demonstrating the following:</w:t>
            </w:r>
          </w:p>
          <w:p w:rsidR="005266B8" w:rsidRPr="005266B8" w:rsidRDefault="005266B8" w:rsidP="001B1B43">
            <w:pPr>
              <w:pStyle w:val="ListParagraph"/>
              <w:numPr>
                <w:ilvl w:val="0"/>
                <w:numId w:val="114"/>
              </w:numPr>
              <w:tabs>
                <w:tab w:val="left" w:pos="0"/>
                <w:tab w:val="left" w:pos="342"/>
              </w:tabs>
              <w:rPr>
                <w:rFonts w:eastAsia="Times New Roman" w:cs="Arial"/>
              </w:rPr>
            </w:pPr>
            <w:r w:rsidRPr="005266B8">
              <w:rPr>
                <w:rFonts w:eastAsia="Times New Roman" w:cs="Arial"/>
              </w:rPr>
              <w:t>Regular participation in case conferences;</w:t>
            </w:r>
          </w:p>
          <w:p w:rsidR="005266B8" w:rsidRPr="005266B8" w:rsidRDefault="005266B8" w:rsidP="001B1B43">
            <w:pPr>
              <w:pStyle w:val="ListParagraph"/>
              <w:numPr>
                <w:ilvl w:val="0"/>
                <w:numId w:val="114"/>
              </w:numPr>
              <w:tabs>
                <w:tab w:val="left" w:pos="0"/>
                <w:tab w:val="left" w:pos="342"/>
              </w:tabs>
              <w:rPr>
                <w:rFonts w:eastAsia="Times New Roman" w:cs="Arial"/>
              </w:rPr>
            </w:pPr>
            <w:r w:rsidRPr="005266B8">
              <w:rPr>
                <w:rFonts w:eastAsia="Times New Roman" w:cs="Arial"/>
              </w:rPr>
              <w:t>Determination of goals to be reached with consumer, strategies for resolution, and disposition of each goal;</w:t>
            </w:r>
          </w:p>
          <w:p w:rsidR="005266B8" w:rsidRPr="005266B8" w:rsidRDefault="005266B8" w:rsidP="001B1B43">
            <w:pPr>
              <w:pStyle w:val="ListParagraph"/>
              <w:numPr>
                <w:ilvl w:val="0"/>
                <w:numId w:val="114"/>
              </w:numPr>
              <w:tabs>
                <w:tab w:val="left" w:pos="0"/>
                <w:tab w:val="left" w:pos="342"/>
              </w:tabs>
              <w:rPr>
                <w:rFonts w:eastAsia="Times New Roman" w:cs="Arial"/>
              </w:rPr>
            </w:pPr>
            <w:r w:rsidRPr="005266B8">
              <w:rPr>
                <w:rFonts w:eastAsia="Times New Roman" w:cs="Arial"/>
              </w:rPr>
              <w:t>Review of Case Manager’s Assessment and notification of any updates/changes to the consumer’s assessment;</w:t>
            </w:r>
          </w:p>
          <w:p w:rsidR="005266B8" w:rsidRPr="005266B8" w:rsidRDefault="005266B8" w:rsidP="001B1B43">
            <w:pPr>
              <w:pStyle w:val="ListParagraph"/>
              <w:numPr>
                <w:ilvl w:val="0"/>
                <w:numId w:val="114"/>
              </w:numPr>
              <w:tabs>
                <w:tab w:val="left" w:pos="0"/>
                <w:tab w:val="left" w:pos="342"/>
              </w:tabs>
              <w:rPr>
                <w:rFonts w:ascii="Cambria" w:eastAsia="Times New Roman" w:hAnsi="Cambria"/>
                <w:sz w:val="22"/>
              </w:rPr>
            </w:pPr>
            <w:r w:rsidRPr="005266B8">
              <w:rPr>
                <w:rFonts w:eastAsia="Times New Roman" w:cs="Arial"/>
              </w:rPr>
              <w:t>Teaching or practicing self-management skills;</w:t>
            </w:r>
          </w:p>
          <w:p w:rsidR="005266B8" w:rsidRPr="005266B8" w:rsidRDefault="005266B8" w:rsidP="001B1B43">
            <w:pPr>
              <w:pStyle w:val="ListParagraph"/>
              <w:numPr>
                <w:ilvl w:val="0"/>
                <w:numId w:val="114"/>
              </w:numPr>
              <w:tabs>
                <w:tab w:val="left" w:pos="0"/>
                <w:tab w:val="left" w:pos="342"/>
              </w:tabs>
              <w:rPr>
                <w:rFonts w:ascii="Cambria" w:eastAsia="Times New Roman" w:hAnsi="Cambria"/>
                <w:sz w:val="22"/>
              </w:rPr>
            </w:pPr>
            <w:r w:rsidRPr="005266B8">
              <w:rPr>
                <w:rFonts w:eastAsia="Times New Roman" w:cs="Arial"/>
              </w:rPr>
              <w:lastRenderedPageBreak/>
              <w:t>Providing assistance and monitoring progress of consumer’s Care Plan developed by their Case Manager or other professional (i.e. Mental Health Provider);</w:t>
            </w:r>
          </w:p>
          <w:p w:rsidR="005266B8" w:rsidRPr="005266B8" w:rsidRDefault="005266B8" w:rsidP="001B1B43">
            <w:pPr>
              <w:pStyle w:val="ListParagraph"/>
              <w:numPr>
                <w:ilvl w:val="0"/>
                <w:numId w:val="114"/>
              </w:numPr>
              <w:tabs>
                <w:tab w:val="left" w:pos="0"/>
                <w:tab w:val="left" w:pos="342"/>
              </w:tabs>
              <w:rPr>
                <w:rFonts w:ascii="Cambria" w:eastAsia="Times New Roman" w:hAnsi="Cambria"/>
                <w:sz w:val="22"/>
              </w:rPr>
            </w:pPr>
            <w:r w:rsidRPr="005266B8">
              <w:rPr>
                <w:rFonts w:eastAsia="Times New Roman" w:cs="Arial"/>
              </w:rPr>
              <w:t>Complementing rather than replacing, the roles of other professionals;</w:t>
            </w:r>
          </w:p>
          <w:p w:rsidR="005266B8" w:rsidRPr="005266B8" w:rsidRDefault="005266B8" w:rsidP="001B1B43">
            <w:pPr>
              <w:pStyle w:val="ListParagraph"/>
              <w:numPr>
                <w:ilvl w:val="0"/>
                <w:numId w:val="114"/>
              </w:numPr>
              <w:tabs>
                <w:tab w:val="left" w:pos="0"/>
                <w:tab w:val="left" w:pos="342"/>
              </w:tabs>
              <w:rPr>
                <w:rFonts w:ascii="Cambria" w:eastAsia="Times New Roman" w:hAnsi="Cambria"/>
                <w:sz w:val="22"/>
              </w:rPr>
            </w:pPr>
            <w:r w:rsidRPr="005266B8">
              <w:rPr>
                <w:rFonts w:eastAsia="Times New Roman" w:cs="Arial"/>
              </w:rPr>
              <w:t xml:space="preserve">Teaching consumers about safer sex strategies; </w:t>
            </w:r>
          </w:p>
          <w:p w:rsidR="005266B8" w:rsidRPr="005266B8" w:rsidRDefault="005266B8" w:rsidP="001B1B43">
            <w:pPr>
              <w:pStyle w:val="ListParagraph"/>
              <w:numPr>
                <w:ilvl w:val="0"/>
                <w:numId w:val="114"/>
              </w:numPr>
              <w:tabs>
                <w:tab w:val="left" w:pos="0"/>
                <w:tab w:val="left" w:pos="342"/>
              </w:tabs>
              <w:rPr>
                <w:rFonts w:ascii="Cambria" w:eastAsia="Times New Roman" w:hAnsi="Cambria"/>
                <w:sz w:val="22"/>
              </w:rPr>
            </w:pPr>
            <w:r w:rsidRPr="005266B8">
              <w:rPr>
                <w:rFonts w:eastAsia="Times New Roman" w:cs="Arial"/>
              </w:rPr>
              <w:t>Helping consumers understand how HIV medications can help them;</w:t>
            </w:r>
          </w:p>
          <w:p w:rsidR="005266B8" w:rsidRPr="005266B8" w:rsidRDefault="005266B8" w:rsidP="001B1B43">
            <w:pPr>
              <w:pStyle w:val="ListParagraph"/>
              <w:numPr>
                <w:ilvl w:val="0"/>
                <w:numId w:val="114"/>
              </w:numPr>
              <w:tabs>
                <w:tab w:val="left" w:pos="0"/>
                <w:tab w:val="left" w:pos="342"/>
              </w:tabs>
              <w:rPr>
                <w:rFonts w:ascii="Cambria" w:eastAsia="Times New Roman" w:hAnsi="Cambria"/>
                <w:sz w:val="22"/>
              </w:rPr>
            </w:pPr>
            <w:r w:rsidRPr="005266B8">
              <w:rPr>
                <w:rFonts w:eastAsia="Times New Roman" w:cs="Arial"/>
              </w:rPr>
              <w:t>Helping consumers to make decisions about disclosing their HIV status;</w:t>
            </w:r>
          </w:p>
          <w:p w:rsidR="005266B8" w:rsidRPr="005266B8" w:rsidRDefault="005266B8" w:rsidP="001B1B43">
            <w:pPr>
              <w:pStyle w:val="ListParagraph"/>
              <w:numPr>
                <w:ilvl w:val="0"/>
                <w:numId w:val="114"/>
              </w:numPr>
              <w:tabs>
                <w:tab w:val="left" w:pos="0"/>
                <w:tab w:val="left" w:pos="342"/>
              </w:tabs>
              <w:rPr>
                <w:rFonts w:ascii="Cambria" w:eastAsia="Times New Roman" w:hAnsi="Cambria"/>
                <w:sz w:val="22"/>
              </w:rPr>
            </w:pPr>
            <w:r w:rsidRPr="005266B8">
              <w:rPr>
                <w:rFonts w:eastAsia="Times New Roman" w:cs="Arial"/>
              </w:rPr>
              <w:t>Helping consumers to talk openly with their doctors; and</w:t>
            </w:r>
          </w:p>
          <w:p w:rsidR="005266B8" w:rsidRPr="005266B8" w:rsidRDefault="005266B8" w:rsidP="001B1B43">
            <w:pPr>
              <w:pStyle w:val="ListParagraph"/>
              <w:numPr>
                <w:ilvl w:val="0"/>
                <w:numId w:val="114"/>
              </w:numPr>
              <w:tabs>
                <w:tab w:val="left" w:pos="0"/>
                <w:tab w:val="left" w:pos="342"/>
              </w:tabs>
              <w:rPr>
                <w:rFonts w:ascii="Cambria" w:eastAsia="Times New Roman" w:hAnsi="Cambria"/>
                <w:sz w:val="22"/>
              </w:rPr>
            </w:pPr>
            <w:r w:rsidRPr="005266B8">
              <w:rPr>
                <w:rFonts w:eastAsia="Times New Roman" w:cs="Arial"/>
              </w:rPr>
              <w:t>Serving as a critical bridge between consumers and providers.</w:t>
            </w:r>
          </w:p>
          <w:p w:rsidR="005266B8" w:rsidRPr="005266B8" w:rsidRDefault="005266B8" w:rsidP="005266B8">
            <w:pPr>
              <w:pStyle w:val="ListParagraph"/>
              <w:tabs>
                <w:tab w:val="left" w:pos="0"/>
                <w:tab w:val="left" w:pos="342"/>
              </w:tabs>
              <w:rPr>
                <w:rFonts w:ascii="Cambria" w:eastAsia="Times New Roman" w:hAnsi="Cambria"/>
                <w:sz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pPr>
              <w:rPr>
                <w:bCs w:val="0"/>
              </w:rPr>
            </w:pPr>
            <w:r>
              <w:rPr>
                <w:bCs w:val="0"/>
              </w:rPr>
              <w:lastRenderedPageBreak/>
              <w:t>2.3</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Documentation PE files reflects all required elements.</w:t>
            </w:r>
          </w:p>
        </w:tc>
      </w:tr>
      <w:tr w:rsidR="005266B8"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r>
              <w:lastRenderedPageBreak/>
              <w:t>2.4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 w:val="left" w:pos="342"/>
              </w:tabs>
            </w:pPr>
            <w:r>
              <w:t>Agencies shall ensure that all PE files provide adequate documentation of the services provided (e.g.) crisis intervention, biopsychosocial assessment, etc.), dates of service, and consistency with the Ryan White Part A Program requirements.</w:t>
            </w:r>
          </w:p>
          <w:p w:rsidR="005266B8" w:rsidRDefault="005266B8" w:rsidP="005266B8">
            <w:pPr>
              <w:tabs>
                <w:tab w:val="left" w:pos="0"/>
                <w:tab w:val="left" w:pos="342"/>
              </w:tabs>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r>
              <w:t>2.4</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Documentation in PE file</w:t>
            </w:r>
          </w:p>
        </w:tc>
      </w:tr>
      <w:tr w:rsidR="005266B8"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r>
              <w:t>2.5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 w:val="left" w:pos="342"/>
              </w:tabs>
            </w:pPr>
            <w:r>
              <w:t>Monitor and document consumer’s progress in meeting established goals of care.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r>
              <w:t>2.5</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A progress note must be done on a consumer for each contact that includes adherence (medical, medication, care plan, etc.), health outcomes, etc.</w:t>
            </w:r>
          </w:p>
          <w:p w:rsidR="005266B8" w:rsidRDefault="005266B8" w:rsidP="005266B8"/>
        </w:tc>
      </w:tr>
      <w:tr w:rsidR="005266B8"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r>
              <w:t>2.6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 w:val="left" w:pos="342"/>
              </w:tabs>
            </w:pPr>
            <w:r>
              <w:t>All progress note entries shall be signed with the Peer Mentor’s full legal name and title. The entry shall also be dated with title and credentials within two (2) days after an interaction with the consumer.</w:t>
            </w:r>
          </w:p>
          <w:p w:rsidR="005266B8" w:rsidRDefault="005266B8" w:rsidP="005266B8">
            <w:pPr>
              <w:tabs>
                <w:tab w:val="left" w:pos="0"/>
                <w:tab w:val="left" w:pos="342"/>
              </w:tabs>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r>
              <w:t>2.6</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Progress notes in PE record reflect all requited elements.</w:t>
            </w:r>
          </w:p>
        </w:tc>
      </w:tr>
      <w:tr w:rsidR="005266B8"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r>
              <w:t>2.7</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 w:val="left" w:pos="342"/>
              </w:tabs>
            </w:pPr>
            <w:r>
              <w:t xml:space="preserve">Support/educational group sessions shall be no less than one (1) hour </w:t>
            </w:r>
            <w:r>
              <w:lastRenderedPageBreak/>
              <w:t>and shall not exceed two (2) hours.</w:t>
            </w:r>
          </w:p>
          <w:p w:rsidR="005266B8" w:rsidRDefault="005266B8" w:rsidP="005266B8">
            <w:pPr>
              <w:tabs>
                <w:tab w:val="left" w:pos="0"/>
                <w:tab w:val="left" w:pos="342"/>
              </w:tabs>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r>
              <w:lastRenderedPageBreak/>
              <w:t>2.7</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Group notes indicate start and ending time of sessions.</w:t>
            </w:r>
          </w:p>
        </w:tc>
      </w:tr>
      <w:tr w:rsidR="005266B8"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r>
              <w:lastRenderedPageBreak/>
              <w:t>2.8</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 w:val="left" w:pos="342"/>
              </w:tabs>
            </w:pPr>
            <w:r>
              <w:t>Support/educational group sessions shall consist of three (3) or more consumers.</w:t>
            </w:r>
          </w:p>
          <w:p w:rsidR="005266B8" w:rsidRDefault="005266B8" w:rsidP="005266B8">
            <w:pPr>
              <w:tabs>
                <w:tab w:val="left" w:pos="0"/>
                <w:tab w:val="left" w:pos="342"/>
              </w:tabs>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r>
              <w:t>2.8</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Sign-in sheet available for inspection</w:t>
            </w:r>
          </w:p>
        </w:tc>
      </w:tr>
      <w:tr w:rsidR="005266B8"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r>
              <w:t>2.9</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 w:val="left" w:pos="342"/>
              </w:tabs>
            </w:pPr>
            <w:r>
              <w:t>Providers of support group services shall maintain a sign-in sheet of all participants for each session that is in accordance with HIPAA.</w:t>
            </w:r>
          </w:p>
          <w:p w:rsidR="005266B8" w:rsidRDefault="005266B8" w:rsidP="005266B8">
            <w:pPr>
              <w:tabs>
                <w:tab w:val="left" w:pos="0"/>
                <w:tab w:val="left" w:pos="342"/>
              </w:tabs>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r>
              <w:t>2.9</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Documentation of group participation in each consumer’s PE file. Sign-in sheet available for review.</w:t>
            </w:r>
          </w:p>
        </w:tc>
      </w:tr>
      <w:tr w:rsidR="005266B8"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r>
              <w:t>2.10</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 w:val="left" w:pos="342"/>
              </w:tabs>
            </w:pPr>
            <w:r>
              <w:t>Documentation of each group session and topic shall be maintained in each participant’s file.</w:t>
            </w:r>
          </w:p>
          <w:p w:rsidR="005266B8" w:rsidRDefault="005266B8" w:rsidP="005266B8">
            <w:pPr>
              <w:tabs>
                <w:tab w:val="left" w:pos="0"/>
                <w:tab w:val="left" w:pos="342"/>
              </w:tabs>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r>
              <w:t>2.10</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Documentation of group participating in consumer PE file.</w:t>
            </w:r>
          </w:p>
        </w:tc>
      </w:tr>
    </w:tbl>
    <w:p w:rsidR="005266B8" w:rsidRDefault="005266B8" w:rsidP="00193C23">
      <w:pPr>
        <w:spacing w:after="0" w:line="240" w:lineRule="auto"/>
        <w:jc w:val="both"/>
        <w:rPr>
          <w:rFonts w:ascii="Arial" w:hAnsi="Arial" w:cs="Arial"/>
          <w:sz w:val="24"/>
        </w:rPr>
      </w:pPr>
    </w:p>
    <w:tbl>
      <w:tblPr>
        <w:tblStyle w:val="TableGrid19"/>
        <w:tblW w:w="9576" w:type="dxa"/>
        <w:tblLayout w:type="fixed"/>
        <w:tblLook w:val="04A0" w:firstRow="1" w:lastRow="0" w:firstColumn="1" w:lastColumn="0" w:noHBand="0" w:noVBand="1"/>
      </w:tblPr>
      <w:tblGrid>
        <w:gridCol w:w="9576"/>
      </w:tblGrid>
      <w:tr w:rsidR="005266B8" w:rsidRPr="00F8308B" w:rsidTr="005266B8">
        <w:tc>
          <w:tcPr>
            <w:tcW w:w="9576" w:type="dxa"/>
            <w:tcBorders>
              <w:top w:val="single" w:sz="12" w:space="0" w:color="0F243E" w:themeColor="text2" w:themeShade="80"/>
              <w:left w:val="nil"/>
              <w:bottom w:val="single" w:sz="12" w:space="0" w:color="0F243E" w:themeColor="text2" w:themeShade="80"/>
              <w:right w:val="nil"/>
            </w:tcBorders>
          </w:tcPr>
          <w:p w:rsidR="005266B8" w:rsidRPr="00F8308B" w:rsidRDefault="005266B8" w:rsidP="005266B8">
            <w:pPr>
              <w:pStyle w:val="Heading3"/>
              <w:spacing w:before="0"/>
              <w:outlineLvl w:val="2"/>
            </w:pPr>
            <w:bookmarkStart w:id="102" w:name="_Toc489280933"/>
            <w:r w:rsidRPr="005266B8">
              <w:rPr>
                <w:sz w:val="28"/>
              </w:rPr>
              <w:t>3.0 Discharge</w:t>
            </w:r>
            <w:bookmarkEnd w:id="102"/>
          </w:p>
        </w:tc>
      </w:tr>
    </w:tbl>
    <w:p w:rsidR="005266B8" w:rsidRDefault="005266B8" w:rsidP="005266B8">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9576"/>
      </w:tblGrid>
      <w:tr w:rsidR="005266B8" w:rsidTr="005266B8">
        <w:tc>
          <w:tcPr>
            <w:tcW w:w="9576" w:type="dxa"/>
            <w:tcBorders>
              <w:top w:val="nil"/>
              <w:left w:val="nil"/>
              <w:bottom w:val="nil"/>
              <w:right w:val="nil"/>
            </w:tcBorders>
          </w:tcPr>
          <w:p w:rsidR="005266B8" w:rsidRDefault="005266B8" w:rsidP="005266B8">
            <w:pPr>
              <w:rPr>
                <w:rFonts w:cs="Arial"/>
              </w:rPr>
            </w:pPr>
            <w:r w:rsidRPr="005266B8">
              <w:rPr>
                <w:rFonts w:cs="Arial"/>
              </w:rPr>
              <w:t>Consumers who are no longer engaged in psychosocial support services shall have their cases closed based on the criteria and protocol outlined in the agency’s Psychosocial Support Policies and Procedures Manual.</w:t>
            </w:r>
          </w:p>
        </w:tc>
      </w:tr>
    </w:tbl>
    <w:p w:rsidR="005266B8" w:rsidRDefault="005266B8" w:rsidP="005266B8">
      <w:pPr>
        <w:spacing w:after="0" w:line="240" w:lineRule="auto"/>
        <w:jc w:val="both"/>
        <w:rPr>
          <w:rFonts w:ascii="Arial" w:hAnsi="Arial" w:cs="Arial"/>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
        <w:gridCol w:w="4158"/>
        <w:gridCol w:w="702"/>
        <w:gridCol w:w="18"/>
        <w:gridCol w:w="3942"/>
      </w:tblGrid>
      <w:tr w:rsidR="005266B8" w:rsidRPr="000B017A" w:rsidTr="005266B8">
        <w:tc>
          <w:tcPr>
            <w:tcW w:w="9558" w:type="dxa"/>
            <w:gridSpan w:val="6"/>
            <w:shd w:val="clear" w:color="auto" w:fill="17365D" w:themeFill="text2" w:themeFillShade="BF"/>
          </w:tcPr>
          <w:p w:rsidR="005266B8" w:rsidRPr="000B017A" w:rsidRDefault="005266B8" w:rsidP="005266B8">
            <w:pPr>
              <w:pStyle w:val="Heading4"/>
              <w:spacing w:before="0"/>
              <w:outlineLvl w:val="3"/>
              <w:rPr>
                <w:bCs/>
              </w:rPr>
            </w:pPr>
            <w:r w:rsidRPr="005266B8">
              <w:rPr>
                <w:color w:val="FFFFFF" w:themeColor="background1"/>
                <w:sz w:val="28"/>
              </w:rPr>
              <w:t>3.0 Discharge</w:t>
            </w:r>
          </w:p>
        </w:tc>
      </w:tr>
      <w:tr w:rsidR="005266B8" w:rsidRPr="000B017A" w:rsidTr="005266B8">
        <w:tc>
          <w:tcPr>
            <w:tcW w:w="720" w:type="dxa"/>
          </w:tcPr>
          <w:p w:rsidR="005266B8" w:rsidRPr="000B017A" w:rsidRDefault="005266B8" w:rsidP="005266B8">
            <w:pPr>
              <w:rPr>
                <w:bCs w:val="0"/>
              </w:rPr>
            </w:pPr>
          </w:p>
        </w:tc>
        <w:tc>
          <w:tcPr>
            <w:tcW w:w="4176" w:type="dxa"/>
            <w:gridSpan w:val="2"/>
          </w:tcPr>
          <w:p w:rsidR="005266B8" w:rsidRPr="000B017A" w:rsidRDefault="005266B8" w:rsidP="005266B8">
            <w:pPr>
              <w:rPr>
                <w:bCs w:val="0"/>
              </w:rPr>
            </w:pPr>
          </w:p>
        </w:tc>
        <w:tc>
          <w:tcPr>
            <w:tcW w:w="720" w:type="dxa"/>
            <w:gridSpan w:val="2"/>
          </w:tcPr>
          <w:p w:rsidR="005266B8" w:rsidRPr="000B017A" w:rsidRDefault="005266B8" w:rsidP="005266B8">
            <w:pPr>
              <w:rPr>
                <w:bCs w:val="0"/>
              </w:rPr>
            </w:pPr>
          </w:p>
        </w:tc>
        <w:tc>
          <w:tcPr>
            <w:tcW w:w="3942" w:type="dxa"/>
          </w:tcPr>
          <w:p w:rsidR="005266B8" w:rsidRPr="000B017A" w:rsidRDefault="005266B8" w:rsidP="005266B8">
            <w:pPr>
              <w:rPr>
                <w:bCs w:val="0"/>
              </w:rPr>
            </w:pPr>
          </w:p>
        </w:tc>
      </w:tr>
      <w:tr w:rsidR="005266B8" w:rsidTr="005266B8">
        <w:tc>
          <w:tcPr>
            <w:tcW w:w="4896" w:type="dxa"/>
            <w:gridSpan w:val="3"/>
            <w:tcBorders>
              <w:bottom w:val="single" w:sz="12" w:space="0" w:color="17365D" w:themeColor="text2" w:themeShade="BF"/>
              <w:right w:val="single" w:sz="12" w:space="0" w:color="17365D" w:themeColor="text2" w:themeShade="BF"/>
            </w:tcBorders>
            <w:vAlign w:val="center"/>
          </w:tcPr>
          <w:p w:rsidR="005266B8" w:rsidRPr="005266B8" w:rsidRDefault="005266B8" w:rsidP="005266B8">
            <w:pPr>
              <w:jc w:val="center"/>
              <w:rPr>
                <w:rStyle w:val="BookTitle"/>
              </w:rPr>
            </w:pPr>
            <w:r w:rsidRPr="005266B8">
              <w:rPr>
                <w:rStyle w:val="BookTitle"/>
              </w:rPr>
              <w:t>Standards</w:t>
            </w:r>
          </w:p>
        </w:tc>
        <w:tc>
          <w:tcPr>
            <w:tcW w:w="4662" w:type="dxa"/>
            <w:gridSpan w:val="3"/>
            <w:tcBorders>
              <w:left w:val="single" w:sz="12" w:space="0" w:color="17365D" w:themeColor="text2" w:themeShade="BF"/>
              <w:bottom w:val="single" w:sz="12" w:space="0" w:color="17365D" w:themeColor="text2" w:themeShade="BF"/>
            </w:tcBorders>
            <w:vAlign w:val="center"/>
          </w:tcPr>
          <w:p w:rsidR="005266B8" w:rsidRPr="005266B8" w:rsidRDefault="005266B8" w:rsidP="005266B8">
            <w:pPr>
              <w:jc w:val="center"/>
              <w:rPr>
                <w:rStyle w:val="BookTitle"/>
              </w:rPr>
            </w:pPr>
            <w:r w:rsidRPr="005266B8">
              <w:rPr>
                <w:rStyle w:val="BookTitle"/>
              </w:rPr>
              <w:t>Measures</w:t>
            </w:r>
          </w:p>
        </w:tc>
      </w:tr>
      <w:tr w:rsidR="005266B8" w:rsidRPr="00165C96"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pPr>
              <w:rPr>
                <w:bCs w:val="0"/>
              </w:rPr>
            </w:pPr>
            <w:r>
              <w:rPr>
                <w:bCs w:val="0"/>
              </w:rPr>
              <w:t>3.1</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vAlign w:val="center"/>
          </w:tcPr>
          <w:p w:rsidR="005266B8" w:rsidRDefault="005266B8" w:rsidP="005266B8">
            <w:r>
              <w:t>All consumers shall be notified of case closures and notification shall include the reason(s) for closure. Whenever possible notification shall be completed in a face-to-face session.</w:t>
            </w:r>
          </w:p>
          <w:p w:rsidR="005266B8" w:rsidRDefault="005266B8" w:rsidP="005266B8"/>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pPr>
              <w:rPr>
                <w:bCs w:val="0"/>
              </w:rPr>
            </w:pPr>
            <w:r>
              <w:rPr>
                <w:bCs w:val="0"/>
              </w:rPr>
              <w:t>3.1</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Documentation of all contact attempts for notification of case closure in PE file.</w:t>
            </w:r>
          </w:p>
        </w:tc>
      </w:tr>
      <w:tr w:rsidR="005266B8" w:rsidRPr="00165C96"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pPr>
              <w:rPr>
                <w:bCs w:val="0"/>
              </w:rPr>
            </w:pPr>
            <w:r>
              <w:rPr>
                <w:bCs w:val="0"/>
              </w:rPr>
              <w:t>3.2</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pStyle w:val="ListParagraph"/>
              <w:tabs>
                <w:tab w:val="left" w:pos="0"/>
                <w:tab w:val="left" w:pos="1170"/>
              </w:tabs>
              <w:ind w:left="0"/>
              <w:rPr>
                <w:rFonts w:eastAsia="Times New Roman" w:cs="Arial"/>
                <w:szCs w:val="22"/>
              </w:rPr>
            </w:pPr>
            <w:r>
              <w:rPr>
                <w:rFonts w:eastAsia="Times New Roman" w:cs="Arial"/>
                <w:szCs w:val="22"/>
              </w:rPr>
              <w:t>Cases may be closed when the consumer:</w:t>
            </w:r>
          </w:p>
          <w:p w:rsidR="005266B8" w:rsidRPr="005266B8" w:rsidRDefault="005266B8" w:rsidP="001B1B43">
            <w:pPr>
              <w:pStyle w:val="ListParagraph"/>
              <w:numPr>
                <w:ilvl w:val="0"/>
                <w:numId w:val="115"/>
              </w:numPr>
              <w:tabs>
                <w:tab w:val="left" w:pos="0"/>
                <w:tab w:val="left" w:pos="1170"/>
              </w:tabs>
              <w:rPr>
                <w:rFonts w:eastAsia="Times New Roman" w:cs="Arial"/>
              </w:rPr>
            </w:pPr>
            <w:r w:rsidRPr="005266B8">
              <w:rPr>
                <w:rFonts w:eastAsia="Times New Roman" w:cs="Arial"/>
              </w:rPr>
              <w:t>Has achieved the goals listed on the care plan;</w:t>
            </w:r>
          </w:p>
          <w:p w:rsidR="005266B8" w:rsidRPr="005266B8" w:rsidRDefault="005266B8" w:rsidP="001B1B43">
            <w:pPr>
              <w:pStyle w:val="ListParagraph"/>
              <w:numPr>
                <w:ilvl w:val="0"/>
                <w:numId w:val="115"/>
              </w:numPr>
              <w:tabs>
                <w:tab w:val="left" w:pos="0"/>
                <w:tab w:val="left" w:pos="1170"/>
              </w:tabs>
              <w:rPr>
                <w:rFonts w:eastAsia="Times New Roman" w:cs="Arial"/>
              </w:rPr>
            </w:pPr>
            <w:r w:rsidRPr="005266B8">
              <w:rPr>
                <w:rFonts w:eastAsia="Times New Roman" w:cs="Arial"/>
              </w:rPr>
              <w:t>Has become ineligible for service;</w:t>
            </w:r>
          </w:p>
          <w:p w:rsidR="005266B8" w:rsidRPr="005266B8" w:rsidRDefault="005266B8" w:rsidP="001B1B43">
            <w:pPr>
              <w:pStyle w:val="ListParagraph"/>
              <w:numPr>
                <w:ilvl w:val="0"/>
                <w:numId w:val="115"/>
              </w:numPr>
              <w:tabs>
                <w:tab w:val="left" w:pos="0"/>
                <w:tab w:val="left" w:pos="1170"/>
              </w:tabs>
              <w:rPr>
                <w:rFonts w:eastAsia="Times New Roman" w:cs="Arial"/>
              </w:rPr>
            </w:pPr>
            <w:r w:rsidRPr="005266B8">
              <w:rPr>
                <w:rFonts w:eastAsia="Times New Roman" w:cs="Arial"/>
              </w:rPr>
              <w:t xml:space="preserve">Is deceased; </w:t>
            </w:r>
          </w:p>
          <w:p w:rsidR="005266B8" w:rsidRPr="005266B8" w:rsidRDefault="005266B8" w:rsidP="001B1B43">
            <w:pPr>
              <w:pStyle w:val="ListParagraph"/>
              <w:numPr>
                <w:ilvl w:val="0"/>
                <w:numId w:val="115"/>
              </w:numPr>
              <w:tabs>
                <w:tab w:val="left" w:pos="0"/>
                <w:tab w:val="left" w:pos="1170"/>
              </w:tabs>
              <w:rPr>
                <w:rFonts w:eastAsia="Times New Roman" w:cs="Arial"/>
              </w:rPr>
            </w:pPr>
            <w:r w:rsidRPr="005266B8">
              <w:rPr>
                <w:rFonts w:eastAsia="Times New Roman" w:cs="Arial"/>
              </w:rPr>
              <w:t>No longer requires the services;</w:t>
            </w:r>
          </w:p>
          <w:p w:rsidR="005266B8" w:rsidRPr="005266B8" w:rsidRDefault="005266B8" w:rsidP="001B1B43">
            <w:pPr>
              <w:pStyle w:val="ListParagraph"/>
              <w:numPr>
                <w:ilvl w:val="0"/>
                <w:numId w:val="115"/>
              </w:numPr>
              <w:tabs>
                <w:tab w:val="left" w:pos="0"/>
                <w:tab w:val="left" w:pos="1170"/>
              </w:tabs>
              <w:rPr>
                <w:rFonts w:eastAsia="Times New Roman" w:cs="Arial"/>
              </w:rPr>
            </w:pPr>
            <w:r w:rsidRPr="005266B8">
              <w:rPr>
                <w:rFonts w:eastAsia="Times New Roman" w:cs="Arial"/>
              </w:rPr>
              <w:t>Decides to discontinue the service;</w:t>
            </w:r>
          </w:p>
          <w:p w:rsidR="005266B8" w:rsidRPr="005266B8" w:rsidRDefault="005266B8" w:rsidP="001B1B43">
            <w:pPr>
              <w:pStyle w:val="ListParagraph"/>
              <w:numPr>
                <w:ilvl w:val="0"/>
                <w:numId w:val="115"/>
              </w:numPr>
              <w:tabs>
                <w:tab w:val="left" w:pos="0"/>
                <w:tab w:val="left" w:pos="1170"/>
              </w:tabs>
              <w:rPr>
                <w:rFonts w:eastAsia="Times New Roman" w:cs="Arial"/>
              </w:rPr>
            </w:pPr>
            <w:r w:rsidRPr="005266B8">
              <w:rPr>
                <w:rFonts w:eastAsia="Times New Roman" w:cs="Arial"/>
              </w:rPr>
              <w:t>Is found to be improperly utilizing the program; or</w:t>
            </w:r>
          </w:p>
          <w:p w:rsidR="005266B8" w:rsidRPr="005266B8" w:rsidRDefault="005266B8" w:rsidP="001B1B43">
            <w:pPr>
              <w:pStyle w:val="ListParagraph"/>
              <w:numPr>
                <w:ilvl w:val="0"/>
                <w:numId w:val="115"/>
              </w:numPr>
              <w:tabs>
                <w:tab w:val="left" w:pos="0"/>
                <w:tab w:val="left" w:pos="1170"/>
              </w:tabs>
              <w:rPr>
                <w:rFonts w:eastAsia="Times New Roman" w:cs="Arial"/>
              </w:rPr>
            </w:pPr>
            <w:r w:rsidRPr="005266B8">
              <w:rPr>
                <w:rFonts w:eastAsia="Times New Roman" w:cs="Arial"/>
              </w:rPr>
              <w:lastRenderedPageBreak/>
              <w:t>The service provider is unable to contact the consumer for a determined period of time.</w:t>
            </w: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pPr>
              <w:rPr>
                <w:bCs w:val="0"/>
              </w:rPr>
            </w:pPr>
            <w:r>
              <w:rPr>
                <w:bCs w:val="0"/>
              </w:rPr>
              <w:lastRenderedPageBreak/>
              <w:t>3.2</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Documentation of reason for case closure in PE file.</w:t>
            </w:r>
          </w:p>
        </w:tc>
      </w:tr>
      <w:tr w:rsidR="005266B8" w:rsidRPr="00165C96"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pPr>
              <w:rPr>
                <w:bCs w:val="0"/>
              </w:rPr>
            </w:pPr>
            <w:r>
              <w:rPr>
                <w:bCs w:val="0"/>
              </w:rPr>
              <w:lastRenderedPageBreak/>
              <w:t>3.3</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s>
              <w:rPr>
                <w:rFonts w:eastAsia="Times New Roman"/>
                <w:szCs w:val="22"/>
              </w:rPr>
            </w:pPr>
            <w:r>
              <w:rPr>
                <w:rFonts w:eastAsia="Times New Roman"/>
                <w:szCs w:val="22"/>
              </w:rPr>
              <w:t>Each closed consumer file shall contain a discharge summary and an exit interview, where appropriate.</w:t>
            </w:r>
          </w:p>
          <w:p w:rsidR="005266B8" w:rsidRDefault="005266B8" w:rsidP="005266B8">
            <w:pPr>
              <w:tabs>
                <w:tab w:val="left" w:pos="0"/>
              </w:tabs>
              <w:rPr>
                <w:rFonts w:eastAsia="Times New Roman"/>
                <w:szCs w:val="22"/>
              </w:rPr>
            </w:pPr>
          </w:p>
          <w:p w:rsidR="005266B8" w:rsidRDefault="005266B8" w:rsidP="005266B8">
            <w:pPr>
              <w:tabs>
                <w:tab w:val="left" w:pos="0"/>
              </w:tabs>
              <w:rPr>
                <w:rFonts w:eastAsia="Times New Roman"/>
                <w:b/>
                <w:sz w:val="22"/>
                <w:szCs w:val="22"/>
              </w:rPr>
            </w:pPr>
            <w:r w:rsidRPr="005266B8">
              <w:rPr>
                <w:rFonts w:eastAsia="Times New Roman"/>
                <w:b/>
                <w:sz w:val="22"/>
                <w:szCs w:val="22"/>
              </w:rPr>
              <w:t>Note: When the Peer is unable to conduct an exit interview or a face-to-face discharge, the reason shall be documented in the discharge summary.</w:t>
            </w:r>
          </w:p>
          <w:p w:rsidR="005266B8" w:rsidRPr="0075383B" w:rsidRDefault="005266B8" w:rsidP="005266B8">
            <w:pPr>
              <w:tabs>
                <w:tab w:val="left" w:pos="0"/>
              </w:tabs>
              <w:rPr>
                <w:rFonts w:eastAsia="Times New Roman"/>
                <w:b/>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pPr>
              <w:rPr>
                <w:bCs w:val="0"/>
              </w:rPr>
            </w:pPr>
            <w:r>
              <w:rPr>
                <w:bCs w:val="0"/>
              </w:rPr>
              <w:t>3.3</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The discharge summary shall document the recent closure and case disposition and shall be reviewed by the Peer Mentor Supervisor.</w:t>
            </w:r>
          </w:p>
        </w:tc>
      </w:tr>
      <w:tr w:rsidR="005266B8" w:rsidRPr="00165C96"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pPr>
              <w:rPr>
                <w:bCs w:val="0"/>
              </w:rPr>
            </w:pPr>
            <w:r>
              <w:rPr>
                <w:bCs w:val="0"/>
              </w:rPr>
              <w:t>3.4</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s>
              <w:rPr>
                <w:rFonts w:eastAsia="Times New Roman"/>
                <w:szCs w:val="22"/>
              </w:rPr>
            </w:pPr>
            <w:r>
              <w:rPr>
                <w:rFonts w:eastAsia="Times New Roman"/>
                <w:szCs w:val="22"/>
              </w:rPr>
              <w:t>All discharged consumers shall be offered an exit interview via one of the following:</w:t>
            </w:r>
          </w:p>
          <w:p w:rsidR="005266B8" w:rsidRPr="005266B8" w:rsidRDefault="005266B8" w:rsidP="001B1B43">
            <w:pPr>
              <w:pStyle w:val="ListParagraph"/>
              <w:numPr>
                <w:ilvl w:val="0"/>
                <w:numId w:val="116"/>
              </w:numPr>
              <w:tabs>
                <w:tab w:val="left" w:pos="0"/>
              </w:tabs>
              <w:rPr>
                <w:rFonts w:eastAsia="Times New Roman"/>
              </w:rPr>
            </w:pPr>
            <w:r w:rsidRPr="005266B8">
              <w:rPr>
                <w:rFonts w:eastAsia="Times New Roman"/>
              </w:rPr>
              <w:t>Face-to-face visit;</w:t>
            </w:r>
          </w:p>
          <w:p w:rsidR="005266B8" w:rsidRPr="005266B8" w:rsidRDefault="005266B8" w:rsidP="001B1B43">
            <w:pPr>
              <w:pStyle w:val="ListParagraph"/>
              <w:numPr>
                <w:ilvl w:val="0"/>
                <w:numId w:val="116"/>
              </w:numPr>
              <w:tabs>
                <w:tab w:val="left" w:pos="0"/>
              </w:tabs>
              <w:rPr>
                <w:rFonts w:eastAsia="Times New Roman"/>
              </w:rPr>
            </w:pPr>
            <w:r w:rsidRPr="005266B8">
              <w:rPr>
                <w:rFonts w:eastAsia="Times New Roman"/>
              </w:rPr>
              <w:t>Telephone call; or</w:t>
            </w:r>
          </w:p>
          <w:p w:rsidR="005266B8" w:rsidRPr="005266B8" w:rsidRDefault="005266B8" w:rsidP="001B1B43">
            <w:pPr>
              <w:pStyle w:val="ListParagraph"/>
              <w:numPr>
                <w:ilvl w:val="0"/>
                <w:numId w:val="116"/>
              </w:numPr>
              <w:tabs>
                <w:tab w:val="left" w:pos="0"/>
              </w:tabs>
              <w:rPr>
                <w:rFonts w:eastAsia="Times New Roman"/>
              </w:rPr>
            </w:pPr>
            <w:r w:rsidRPr="005266B8">
              <w:rPr>
                <w:rFonts w:eastAsia="Times New Roman"/>
              </w:rPr>
              <w:t>Written communication.</w:t>
            </w:r>
          </w:p>
          <w:p w:rsidR="005266B8" w:rsidRDefault="005266B8" w:rsidP="005266B8">
            <w:pPr>
              <w:tabs>
                <w:tab w:val="left" w:pos="0"/>
              </w:tabs>
              <w:rPr>
                <w:rFonts w:eastAsia="Times New Roman"/>
                <w:szCs w:val="22"/>
              </w:rPr>
            </w:pPr>
          </w:p>
          <w:p w:rsidR="005266B8" w:rsidRDefault="005266B8" w:rsidP="005266B8">
            <w:pPr>
              <w:tabs>
                <w:tab w:val="left" w:pos="0"/>
              </w:tabs>
              <w:rPr>
                <w:rFonts w:eastAsia="Times New Roman"/>
                <w:b/>
                <w:sz w:val="22"/>
                <w:szCs w:val="22"/>
              </w:rPr>
            </w:pPr>
            <w:r w:rsidRPr="005266B8">
              <w:rPr>
                <w:rFonts w:eastAsia="Times New Roman"/>
                <w:b/>
                <w:sz w:val="22"/>
                <w:szCs w:val="22"/>
              </w:rPr>
              <w:t>Note: when the Peer is unable to conduct an exit interview the reason shall be documented in the discharge summary</w:t>
            </w:r>
          </w:p>
          <w:p w:rsidR="005266B8" w:rsidRPr="0075383B" w:rsidRDefault="005266B8" w:rsidP="005266B8">
            <w:pPr>
              <w:tabs>
                <w:tab w:val="left" w:pos="0"/>
              </w:tabs>
              <w:rPr>
                <w:rFonts w:eastAsia="Times New Roman"/>
                <w:b/>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pPr>
              <w:rPr>
                <w:bCs w:val="0"/>
              </w:rPr>
            </w:pPr>
            <w:r>
              <w:rPr>
                <w:bCs w:val="0"/>
              </w:rPr>
              <w:t>3,4</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Documentation of completed exit interview in discharge summary in PE file</w:t>
            </w:r>
          </w:p>
        </w:tc>
      </w:tr>
      <w:tr w:rsidR="005266B8" w:rsidRPr="00165C96"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pPr>
              <w:rPr>
                <w:bCs w:val="0"/>
              </w:rPr>
            </w:pPr>
            <w:r>
              <w:rPr>
                <w:bCs w:val="0"/>
              </w:rPr>
              <w:t>3.5</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s>
              <w:rPr>
                <w:rFonts w:eastAsia="Times New Roman"/>
                <w:szCs w:val="22"/>
              </w:rPr>
            </w:pPr>
            <w:r>
              <w:rPr>
                <w:rFonts w:eastAsia="Times New Roman"/>
                <w:szCs w:val="22"/>
              </w:rPr>
              <w:t>Supervisor approval is required for all case closures.</w:t>
            </w:r>
          </w:p>
          <w:p w:rsidR="005266B8" w:rsidRDefault="005266B8" w:rsidP="005266B8">
            <w:pPr>
              <w:tabs>
                <w:tab w:val="left" w:pos="0"/>
              </w:tabs>
              <w:rPr>
                <w:rFonts w:eastAsia="Times New Roman"/>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pPr>
              <w:rPr>
                <w:bCs w:val="0"/>
              </w:rPr>
            </w:pPr>
            <w:r>
              <w:rPr>
                <w:bCs w:val="0"/>
              </w:rPr>
              <w:t>3.5</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Supervisor approval documented in PE file.</w:t>
            </w:r>
          </w:p>
        </w:tc>
      </w:tr>
      <w:tr w:rsidR="005266B8" w:rsidRPr="00165C96" w:rsidTr="005266B8">
        <w:tc>
          <w:tcPr>
            <w:tcW w:w="738" w:type="dxa"/>
            <w:gridSpan w:val="2"/>
            <w:tcBorders>
              <w:top w:val="single" w:sz="12" w:space="0" w:color="17365D" w:themeColor="text2" w:themeShade="BF"/>
              <w:bottom w:val="single" w:sz="12" w:space="0" w:color="17365D" w:themeColor="text2" w:themeShade="BF"/>
            </w:tcBorders>
          </w:tcPr>
          <w:p w:rsidR="005266B8" w:rsidRDefault="005266B8" w:rsidP="005266B8">
            <w:pPr>
              <w:rPr>
                <w:bCs w:val="0"/>
              </w:rPr>
            </w:pPr>
            <w:r>
              <w:rPr>
                <w:bCs w:val="0"/>
              </w:rPr>
              <w:t>3.6</w:t>
            </w:r>
          </w:p>
        </w:tc>
        <w:tc>
          <w:tcPr>
            <w:tcW w:w="4158" w:type="dxa"/>
            <w:tcBorders>
              <w:top w:val="single" w:sz="12" w:space="0" w:color="17365D" w:themeColor="text2" w:themeShade="BF"/>
              <w:bottom w:val="single" w:sz="12" w:space="0" w:color="17365D" w:themeColor="text2" w:themeShade="BF"/>
              <w:right w:val="single" w:sz="12" w:space="0" w:color="17365D" w:themeColor="text2" w:themeShade="BF"/>
            </w:tcBorders>
          </w:tcPr>
          <w:p w:rsidR="005266B8" w:rsidRDefault="005266B8" w:rsidP="005266B8">
            <w:pPr>
              <w:tabs>
                <w:tab w:val="left" w:pos="0"/>
              </w:tabs>
              <w:rPr>
                <w:rFonts w:eastAsia="Times New Roman"/>
                <w:szCs w:val="22"/>
              </w:rPr>
            </w:pPr>
            <w:r>
              <w:rPr>
                <w:rFonts w:eastAsia="Times New Roman"/>
                <w:szCs w:val="22"/>
              </w:rPr>
              <w:t>All discharge summaries shall be documented in PE record within six (6) months of the last consumer contact.</w:t>
            </w:r>
          </w:p>
          <w:p w:rsidR="005266B8" w:rsidRDefault="005266B8" w:rsidP="005266B8">
            <w:pPr>
              <w:tabs>
                <w:tab w:val="left" w:pos="0"/>
              </w:tabs>
              <w:rPr>
                <w:rFonts w:eastAsia="Times New Roman"/>
                <w:szCs w:val="22"/>
              </w:rPr>
            </w:pPr>
          </w:p>
        </w:tc>
        <w:tc>
          <w:tcPr>
            <w:tcW w:w="702" w:type="dxa"/>
            <w:tcBorders>
              <w:top w:val="single" w:sz="12" w:space="0" w:color="17365D" w:themeColor="text2" w:themeShade="BF"/>
              <w:left w:val="single" w:sz="12" w:space="0" w:color="17365D" w:themeColor="text2" w:themeShade="BF"/>
              <w:bottom w:val="single" w:sz="12" w:space="0" w:color="17365D" w:themeColor="text2" w:themeShade="BF"/>
            </w:tcBorders>
          </w:tcPr>
          <w:p w:rsidR="005266B8" w:rsidRDefault="005266B8" w:rsidP="005266B8">
            <w:pPr>
              <w:rPr>
                <w:bCs w:val="0"/>
              </w:rPr>
            </w:pPr>
            <w:r>
              <w:rPr>
                <w:bCs w:val="0"/>
              </w:rPr>
              <w:t>3.6</w:t>
            </w:r>
          </w:p>
        </w:tc>
        <w:tc>
          <w:tcPr>
            <w:tcW w:w="3960" w:type="dxa"/>
            <w:gridSpan w:val="2"/>
            <w:tcBorders>
              <w:top w:val="single" w:sz="12" w:space="0" w:color="17365D" w:themeColor="text2" w:themeShade="BF"/>
              <w:bottom w:val="single" w:sz="12" w:space="0" w:color="17365D" w:themeColor="text2" w:themeShade="BF"/>
            </w:tcBorders>
          </w:tcPr>
          <w:p w:rsidR="005266B8" w:rsidRDefault="005266B8" w:rsidP="005266B8">
            <w:r>
              <w:t>Documentation in PE record.</w:t>
            </w:r>
          </w:p>
        </w:tc>
      </w:tr>
    </w:tbl>
    <w:p w:rsidR="005266B8" w:rsidRDefault="005266B8" w:rsidP="005266B8">
      <w:pPr>
        <w:spacing w:after="0" w:line="240" w:lineRule="auto"/>
        <w:jc w:val="both"/>
        <w:rPr>
          <w:rFonts w:ascii="Arial" w:hAnsi="Arial" w:cs="Arial"/>
          <w:sz w:val="24"/>
        </w:rPr>
      </w:pPr>
    </w:p>
    <w:sectPr w:rsidR="005266B8" w:rsidSect="00B30500">
      <w:footerReference w:type="default" r:id="rId67"/>
      <w:footerReference w:type="first" r:id="rId68"/>
      <w:pgSz w:w="12240" w:h="15840" w:code="1"/>
      <w:pgMar w:top="1296" w:right="1440" w:bottom="1296"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94" w:rsidRDefault="00E52294" w:rsidP="002A238E">
      <w:pPr>
        <w:spacing w:after="0" w:line="240" w:lineRule="auto"/>
      </w:pPr>
      <w:r>
        <w:separator/>
      </w:r>
    </w:p>
  </w:endnote>
  <w:endnote w:type="continuationSeparator" w:id="0">
    <w:p w:rsidR="00E52294" w:rsidRDefault="00E52294"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5266B8">
      <w:tc>
        <w:tcPr>
          <w:tcW w:w="4320" w:type="dxa"/>
        </w:tcPr>
        <w:p w:rsidR="00DE64CF" w:rsidRDefault="00DE64CF" w:rsidP="005266B8">
          <w:pPr>
            <w:pStyle w:val="Footer"/>
          </w:pPr>
          <w:r>
            <w:t>Orlando EMA HIV Health Services</w:t>
          </w:r>
        </w:p>
      </w:tc>
      <w:tc>
        <w:tcPr>
          <w:tcW w:w="720" w:type="dxa"/>
          <w:vMerge w:val="restart"/>
          <w:vAlign w:val="center"/>
        </w:tcPr>
        <w:p w:rsidR="00DE64CF" w:rsidRDefault="00DE64CF" w:rsidP="005266B8">
          <w:pPr>
            <w:pStyle w:val="Footer"/>
            <w:jc w:val="center"/>
          </w:pPr>
          <w:r>
            <w:fldChar w:fldCharType="begin"/>
          </w:r>
          <w:r>
            <w:instrText xml:space="preserve"> PAGE   \* MERGEFORMAT </w:instrText>
          </w:r>
          <w:r>
            <w:fldChar w:fldCharType="separate"/>
          </w:r>
          <w:r w:rsidR="00467D3C">
            <w:rPr>
              <w:noProof/>
            </w:rPr>
            <w:t>2</w:t>
          </w:r>
          <w:r>
            <w:rPr>
              <w:noProof/>
            </w:rPr>
            <w:fldChar w:fldCharType="end"/>
          </w:r>
        </w:p>
      </w:tc>
      <w:tc>
        <w:tcPr>
          <w:tcW w:w="4320" w:type="dxa"/>
          <w:vAlign w:val="center"/>
        </w:tcPr>
        <w:p w:rsidR="00DE64CF" w:rsidRDefault="00DE64CF" w:rsidP="005266B8">
          <w:pPr>
            <w:pStyle w:val="Footer"/>
            <w:jc w:val="right"/>
          </w:pPr>
        </w:p>
      </w:tc>
    </w:tr>
    <w:tr w:rsidR="00DE64CF" w:rsidTr="005266B8">
      <w:tc>
        <w:tcPr>
          <w:tcW w:w="4320" w:type="dxa"/>
        </w:tcPr>
        <w:p w:rsidR="00DE64CF" w:rsidRDefault="00DE64CF" w:rsidP="005266B8">
          <w:pPr>
            <w:pStyle w:val="Footer"/>
          </w:pPr>
          <w:r>
            <w:t>Standards of Care</w:t>
          </w:r>
        </w:p>
      </w:tc>
      <w:tc>
        <w:tcPr>
          <w:tcW w:w="720" w:type="dxa"/>
          <w:vMerge/>
        </w:tcPr>
        <w:p w:rsidR="00DE64CF" w:rsidRDefault="00DE64CF" w:rsidP="005266B8">
          <w:pPr>
            <w:pStyle w:val="Footer"/>
          </w:pPr>
        </w:p>
      </w:tc>
      <w:tc>
        <w:tcPr>
          <w:tcW w:w="4320" w:type="dxa"/>
          <w:vAlign w:val="center"/>
        </w:tcPr>
        <w:p w:rsidR="00DE64CF" w:rsidRDefault="00DE64CF" w:rsidP="005266B8">
          <w:pPr>
            <w:pStyle w:val="Footer"/>
            <w:jc w:val="right"/>
          </w:pPr>
        </w:p>
      </w:tc>
    </w:tr>
  </w:tbl>
  <w:p w:rsidR="00DE64CF" w:rsidRDefault="00DE64C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22"/>
      <w:gridCol w:w="4518"/>
    </w:tblGrid>
    <w:tr w:rsidR="00DE64CF" w:rsidTr="008758FA">
      <w:tc>
        <w:tcPr>
          <w:tcW w:w="4518" w:type="dxa"/>
        </w:tcPr>
        <w:p w:rsidR="00DE64CF" w:rsidRDefault="00DE64CF" w:rsidP="00C33AAA">
          <w:pPr>
            <w:pStyle w:val="Footer"/>
          </w:pPr>
          <w:r>
            <w:t>Orlando EMA HIV Health Services</w:t>
          </w:r>
        </w:p>
      </w:tc>
      <w:tc>
        <w:tcPr>
          <w:tcW w:w="522"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35</w:t>
          </w:r>
          <w:r>
            <w:rPr>
              <w:noProof/>
            </w:rPr>
            <w:fldChar w:fldCharType="end"/>
          </w:r>
        </w:p>
      </w:tc>
      <w:tc>
        <w:tcPr>
          <w:tcW w:w="4518" w:type="dxa"/>
          <w:vAlign w:val="center"/>
        </w:tcPr>
        <w:p w:rsidR="00DE64CF" w:rsidRDefault="00DE64CF" w:rsidP="00E37557">
          <w:pPr>
            <w:pStyle w:val="Footer"/>
            <w:jc w:val="right"/>
          </w:pPr>
          <w:r w:rsidRPr="0016057D">
            <w:t>Local Pharmacy Assistance Program</w:t>
          </w:r>
        </w:p>
      </w:tc>
    </w:tr>
    <w:tr w:rsidR="00DE64CF" w:rsidTr="008758FA">
      <w:tc>
        <w:tcPr>
          <w:tcW w:w="4518" w:type="dxa"/>
        </w:tcPr>
        <w:p w:rsidR="00DE64CF" w:rsidRDefault="00DE64CF" w:rsidP="00C33AAA">
          <w:pPr>
            <w:pStyle w:val="Footer"/>
          </w:pPr>
          <w:r>
            <w:t>Standards of Care</w:t>
          </w:r>
        </w:p>
      </w:tc>
      <w:tc>
        <w:tcPr>
          <w:tcW w:w="522" w:type="dxa"/>
          <w:vMerge/>
        </w:tcPr>
        <w:p w:rsidR="00DE64CF" w:rsidRDefault="00DE64CF" w:rsidP="00C33AAA">
          <w:pPr>
            <w:pStyle w:val="Footer"/>
          </w:pPr>
        </w:p>
      </w:tc>
      <w:tc>
        <w:tcPr>
          <w:tcW w:w="4518" w:type="dxa"/>
          <w:vAlign w:val="center"/>
        </w:tcPr>
        <w:p w:rsidR="00DE64CF" w:rsidRDefault="00DE64CF" w:rsidP="005F3069">
          <w:pPr>
            <w:pStyle w:val="Footer"/>
            <w:jc w:val="right"/>
          </w:pPr>
          <w:r w:rsidRPr="0016057D">
            <w:t>Approved July 26th, 2017</w:t>
          </w:r>
        </w:p>
      </w:tc>
    </w:tr>
  </w:tbl>
  <w:p w:rsidR="00DE64CF" w:rsidRDefault="00DE64C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456EA7" w:rsidTr="004953A3">
      <w:tc>
        <w:tcPr>
          <w:tcW w:w="4320" w:type="dxa"/>
        </w:tcPr>
        <w:p w:rsidR="00456EA7" w:rsidRDefault="00456EA7">
          <w:pPr>
            <w:pStyle w:val="Footer"/>
          </w:pPr>
          <w:r>
            <w:t>Orlando EMA HIV Health Services</w:t>
          </w:r>
        </w:p>
      </w:tc>
      <w:tc>
        <w:tcPr>
          <w:tcW w:w="720" w:type="dxa"/>
          <w:vMerge w:val="restart"/>
          <w:vAlign w:val="center"/>
        </w:tcPr>
        <w:p w:rsidR="00456EA7" w:rsidRDefault="00456EA7" w:rsidP="00C33AAA">
          <w:pPr>
            <w:pStyle w:val="Footer"/>
            <w:jc w:val="center"/>
          </w:pPr>
          <w:r>
            <w:fldChar w:fldCharType="begin"/>
          </w:r>
          <w:r>
            <w:instrText xml:space="preserve"> PAGE   \* MERGEFORMAT </w:instrText>
          </w:r>
          <w:r>
            <w:fldChar w:fldCharType="separate"/>
          </w:r>
          <w:r w:rsidR="00467D3C">
            <w:rPr>
              <w:noProof/>
            </w:rPr>
            <w:t>33</w:t>
          </w:r>
          <w:r>
            <w:rPr>
              <w:noProof/>
            </w:rPr>
            <w:fldChar w:fldCharType="end"/>
          </w:r>
        </w:p>
      </w:tc>
      <w:tc>
        <w:tcPr>
          <w:tcW w:w="4320" w:type="dxa"/>
        </w:tcPr>
        <w:p w:rsidR="00456EA7" w:rsidRPr="00E20DC8" w:rsidRDefault="00456EA7" w:rsidP="00456EA7">
          <w:pPr>
            <w:jc w:val="right"/>
          </w:pPr>
          <w:r w:rsidRPr="00456EA7">
            <w:t>Local Pharmacy Assistance Program</w:t>
          </w:r>
        </w:p>
      </w:tc>
    </w:tr>
    <w:tr w:rsidR="00456EA7" w:rsidTr="004953A3">
      <w:tc>
        <w:tcPr>
          <w:tcW w:w="4320" w:type="dxa"/>
        </w:tcPr>
        <w:p w:rsidR="00456EA7" w:rsidRDefault="00456EA7">
          <w:pPr>
            <w:pStyle w:val="Footer"/>
          </w:pPr>
          <w:r>
            <w:t>Standards of Care</w:t>
          </w:r>
        </w:p>
      </w:tc>
      <w:tc>
        <w:tcPr>
          <w:tcW w:w="720" w:type="dxa"/>
          <w:vMerge/>
        </w:tcPr>
        <w:p w:rsidR="00456EA7" w:rsidRDefault="00456EA7">
          <w:pPr>
            <w:pStyle w:val="Footer"/>
          </w:pPr>
        </w:p>
      </w:tc>
      <w:tc>
        <w:tcPr>
          <w:tcW w:w="4320" w:type="dxa"/>
        </w:tcPr>
        <w:p w:rsidR="00456EA7" w:rsidRDefault="00456EA7" w:rsidP="00DE64CF">
          <w:pPr>
            <w:jc w:val="right"/>
          </w:pPr>
          <w:r w:rsidRPr="00E20DC8">
            <w:t>Approved July 26th, 2017</w:t>
          </w:r>
        </w:p>
      </w:tc>
    </w:tr>
  </w:tbl>
  <w:p w:rsidR="00456EA7" w:rsidRDefault="00456EA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22"/>
      <w:gridCol w:w="4518"/>
    </w:tblGrid>
    <w:tr w:rsidR="00DE64CF" w:rsidTr="008758FA">
      <w:tc>
        <w:tcPr>
          <w:tcW w:w="4518" w:type="dxa"/>
        </w:tcPr>
        <w:p w:rsidR="00DE64CF" w:rsidRDefault="00DE64CF" w:rsidP="00C33AAA">
          <w:pPr>
            <w:pStyle w:val="Footer"/>
          </w:pPr>
          <w:r>
            <w:t>Orlando EMA HIV Health Services</w:t>
          </w:r>
        </w:p>
      </w:tc>
      <w:tc>
        <w:tcPr>
          <w:tcW w:w="522"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38</w:t>
          </w:r>
          <w:r>
            <w:rPr>
              <w:noProof/>
            </w:rPr>
            <w:fldChar w:fldCharType="end"/>
          </w:r>
        </w:p>
      </w:tc>
      <w:tc>
        <w:tcPr>
          <w:tcW w:w="4518" w:type="dxa"/>
          <w:vAlign w:val="center"/>
        </w:tcPr>
        <w:p w:rsidR="00DE64CF" w:rsidRDefault="00DE64CF" w:rsidP="00E37557">
          <w:pPr>
            <w:pStyle w:val="Footer"/>
            <w:jc w:val="right"/>
          </w:pPr>
          <w:r>
            <w:t>Oral Health</w:t>
          </w:r>
        </w:p>
      </w:tc>
    </w:tr>
    <w:tr w:rsidR="00DE64CF" w:rsidTr="008758FA">
      <w:tc>
        <w:tcPr>
          <w:tcW w:w="4518" w:type="dxa"/>
        </w:tcPr>
        <w:p w:rsidR="00DE64CF" w:rsidRDefault="00DE64CF" w:rsidP="00C33AAA">
          <w:pPr>
            <w:pStyle w:val="Footer"/>
          </w:pPr>
          <w:r>
            <w:t>Standards of Care</w:t>
          </w:r>
        </w:p>
      </w:tc>
      <w:tc>
        <w:tcPr>
          <w:tcW w:w="522" w:type="dxa"/>
          <w:vMerge/>
        </w:tcPr>
        <w:p w:rsidR="00DE64CF" w:rsidRDefault="00DE64CF" w:rsidP="00C33AAA">
          <w:pPr>
            <w:pStyle w:val="Footer"/>
          </w:pPr>
        </w:p>
      </w:tc>
      <w:tc>
        <w:tcPr>
          <w:tcW w:w="4518" w:type="dxa"/>
          <w:vAlign w:val="center"/>
        </w:tcPr>
        <w:p w:rsidR="00DE64CF" w:rsidRDefault="00DE64CF" w:rsidP="004C6558">
          <w:pPr>
            <w:pStyle w:val="Footer"/>
            <w:jc w:val="right"/>
          </w:pPr>
          <w:r w:rsidRPr="00087F6A">
            <w:t>Approved May 27, 2015</w:t>
          </w:r>
        </w:p>
      </w:tc>
    </w:tr>
  </w:tbl>
  <w:p w:rsidR="00DE64CF" w:rsidRDefault="00DE64C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518"/>
    </w:tblGrid>
    <w:tr w:rsidR="00DE64CF" w:rsidTr="002A0432">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36</w:t>
          </w:r>
          <w:r>
            <w:rPr>
              <w:noProof/>
            </w:rPr>
            <w:fldChar w:fldCharType="end"/>
          </w:r>
        </w:p>
      </w:tc>
      <w:tc>
        <w:tcPr>
          <w:tcW w:w="4518" w:type="dxa"/>
          <w:vAlign w:val="center"/>
        </w:tcPr>
        <w:p w:rsidR="00DE64CF" w:rsidRDefault="00DE64CF" w:rsidP="002A238E">
          <w:pPr>
            <w:pStyle w:val="Footer"/>
            <w:jc w:val="right"/>
          </w:pPr>
          <w:r>
            <w:t>Oral Health.</w:t>
          </w:r>
        </w:p>
      </w:tc>
    </w:tr>
    <w:tr w:rsidR="00DE64CF" w:rsidTr="002A0432">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518" w:type="dxa"/>
          <w:vAlign w:val="center"/>
        </w:tcPr>
        <w:p w:rsidR="00DE64CF" w:rsidRDefault="00DE64CF" w:rsidP="00C33AAA">
          <w:pPr>
            <w:pStyle w:val="Footer"/>
            <w:jc w:val="right"/>
          </w:pPr>
          <w:r>
            <w:t>Approved May 27, 2015</w:t>
          </w:r>
        </w:p>
      </w:tc>
    </w:tr>
  </w:tbl>
  <w:p w:rsidR="00DE64CF" w:rsidRDefault="00DE64C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22"/>
      <w:gridCol w:w="4518"/>
    </w:tblGrid>
    <w:tr w:rsidR="00DE64CF" w:rsidTr="008579C9">
      <w:tc>
        <w:tcPr>
          <w:tcW w:w="4518" w:type="dxa"/>
        </w:tcPr>
        <w:p w:rsidR="00DE64CF" w:rsidRDefault="00DE64CF" w:rsidP="00C33AAA">
          <w:pPr>
            <w:pStyle w:val="Footer"/>
          </w:pPr>
          <w:r>
            <w:t>Orlando EMA HIV Health Services</w:t>
          </w:r>
        </w:p>
      </w:tc>
      <w:tc>
        <w:tcPr>
          <w:tcW w:w="522"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47</w:t>
          </w:r>
          <w:r>
            <w:rPr>
              <w:noProof/>
            </w:rPr>
            <w:fldChar w:fldCharType="end"/>
          </w:r>
        </w:p>
      </w:tc>
      <w:tc>
        <w:tcPr>
          <w:tcW w:w="4518" w:type="dxa"/>
        </w:tcPr>
        <w:p w:rsidR="00DE64CF" w:rsidRPr="005438E8" w:rsidRDefault="00DE64CF" w:rsidP="00087F6A">
          <w:pPr>
            <w:jc w:val="right"/>
          </w:pPr>
          <w:r w:rsidRPr="005438E8">
            <w:t>Early Intervention Services</w:t>
          </w:r>
        </w:p>
      </w:tc>
    </w:tr>
    <w:tr w:rsidR="00DE64CF" w:rsidTr="008579C9">
      <w:tc>
        <w:tcPr>
          <w:tcW w:w="4518" w:type="dxa"/>
        </w:tcPr>
        <w:p w:rsidR="00DE64CF" w:rsidRDefault="00DE64CF" w:rsidP="00C33AAA">
          <w:pPr>
            <w:pStyle w:val="Footer"/>
          </w:pPr>
          <w:r>
            <w:t>Standards of Care</w:t>
          </w:r>
        </w:p>
      </w:tc>
      <w:tc>
        <w:tcPr>
          <w:tcW w:w="522" w:type="dxa"/>
          <w:vMerge/>
        </w:tcPr>
        <w:p w:rsidR="00DE64CF" w:rsidRDefault="00DE64CF" w:rsidP="00C33AAA">
          <w:pPr>
            <w:pStyle w:val="Footer"/>
          </w:pPr>
        </w:p>
      </w:tc>
      <w:tc>
        <w:tcPr>
          <w:tcW w:w="4518" w:type="dxa"/>
        </w:tcPr>
        <w:p w:rsidR="00DE64CF" w:rsidRDefault="00DE64CF" w:rsidP="00087F6A">
          <w:pPr>
            <w:jc w:val="right"/>
          </w:pPr>
          <w:r w:rsidRPr="005438E8">
            <w:t>Approved October 26, 2016</w:t>
          </w:r>
        </w:p>
      </w:tc>
    </w:tr>
  </w:tbl>
  <w:p w:rsidR="00DE64CF" w:rsidRDefault="00DE64C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39</w:t>
          </w:r>
          <w:r>
            <w:rPr>
              <w:noProof/>
            </w:rPr>
            <w:fldChar w:fldCharType="end"/>
          </w:r>
        </w:p>
      </w:tc>
      <w:tc>
        <w:tcPr>
          <w:tcW w:w="4320" w:type="dxa"/>
          <w:vAlign w:val="center"/>
        </w:tcPr>
        <w:p w:rsidR="00DE64CF" w:rsidRDefault="00DE64CF" w:rsidP="004C6558">
          <w:pPr>
            <w:pStyle w:val="Footer"/>
            <w:jc w:val="right"/>
          </w:pPr>
          <w:r>
            <w:t>Early Intervention Services</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4C6558">
          <w:pPr>
            <w:pStyle w:val="Footer"/>
            <w:jc w:val="right"/>
          </w:pPr>
          <w:r>
            <w:t>Approved October 26, 2016</w:t>
          </w:r>
        </w:p>
      </w:tc>
    </w:tr>
  </w:tbl>
  <w:p w:rsidR="00DE64CF" w:rsidRDefault="00DE64C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22"/>
      <w:gridCol w:w="4518"/>
    </w:tblGrid>
    <w:tr w:rsidR="00DE64CF" w:rsidTr="00087F6A">
      <w:tc>
        <w:tcPr>
          <w:tcW w:w="4518" w:type="dxa"/>
        </w:tcPr>
        <w:p w:rsidR="00DE64CF" w:rsidRDefault="00DE64CF" w:rsidP="00C33AAA">
          <w:pPr>
            <w:pStyle w:val="Footer"/>
          </w:pPr>
          <w:r>
            <w:t>Orlando EMA HIV Health Services</w:t>
          </w:r>
        </w:p>
      </w:tc>
      <w:tc>
        <w:tcPr>
          <w:tcW w:w="522"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49</w:t>
          </w:r>
          <w:r>
            <w:rPr>
              <w:noProof/>
            </w:rPr>
            <w:fldChar w:fldCharType="end"/>
          </w:r>
        </w:p>
      </w:tc>
      <w:tc>
        <w:tcPr>
          <w:tcW w:w="4518" w:type="dxa"/>
          <w:vAlign w:val="center"/>
        </w:tcPr>
        <w:p w:rsidR="00DE64CF" w:rsidRDefault="00DE64CF" w:rsidP="00A4657E">
          <w:pPr>
            <w:pStyle w:val="Footer"/>
            <w:jc w:val="right"/>
          </w:pPr>
          <w:r>
            <w:t>Health Insurance &amp; Cost Sharing</w:t>
          </w:r>
        </w:p>
      </w:tc>
    </w:tr>
    <w:tr w:rsidR="00DE64CF" w:rsidTr="00087F6A">
      <w:tc>
        <w:tcPr>
          <w:tcW w:w="4518" w:type="dxa"/>
        </w:tcPr>
        <w:p w:rsidR="00DE64CF" w:rsidRDefault="00DE64CF" w:rsidP="00C33AAA">
          <w:pPr>
            <w:pStyle w:val="Footer"/>
          </w:pPr>
          <w:r>
            <w:t>Standards of Care</w:t>
          </w:r>
        </w:p>
      </w:tc>
      <w:tc>
        <w:tcPr>
          <w:tcW w:w="522" w:type="dxa"/>
          <w:vMerge/>
        </w:tcPr>
        <w:p w:rsidR="00DE64CF" w:rsidRDefault="00DE64CF" w:rsidP="00C33AAA">
          <w:pPr>
            <w:pStyle w:val="Footer"/>
          </w:pPr>
        </w:p>
      </w:tc>
      <w:tc>
        <w:tcPr>
          <w:tcW w:w="4518" w:type="dxa"/>
          <w:vAlign w:val="center"/>
        </w:tcPr>
        <w:p w:rsidR="00DE64CF" w:rsidRDefault="00DE64CF" w:rsidP="00A4657E">
          <w:pPr>
            <w:pStyle w:val="Footer"/>
            <w:jc w:val="right"/>
          </w:pPr>
          <w:r>
            <w:t>Approved February 22, 2017</w:t>
          </w:r>
        </w:p>
      </w:tc>
    </w:tr>
  </w:tbl>
  <w:p w:rsidR="00DE64CF" w:rsidRDefault="00DE64C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85" w:type="dxa"/>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737"/>
      <w:gridCol w:w="4424"/>
    </w:tblGrid>
    <w:tr w:rsidR="00DE64CF" w:rsidTr="00087F6A">
      <w:trPr>
        <w:trHeight w:val="296"/>
      </w:trPr>
      <w:tc>
        <w:tcPr>
          <w:tcW w:w="4424" w:type="dxa"/>
        </w:tcPr>
        <w:p w:rsidR="00DE64CF" w:rsidRDefault="00DE64CF">
          <w:pPr>
            <w:pStyle w:val="Footer"/>
          </w:pPr>
          <w:r>
            <w:t>Orlando EMA HIV Health Services</w:t>
          </w:r>
        </w:p>
      </w:tc>
      <w:tc>
        <w:tcPr>
          <w:tcW w:w="737"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48</w:t>
          </w:r>
          <w:r>
            <w:rPr>
              <w:noProof/>
            </w:rPr>
            <w:fldChar w:fldCharType="end"/>
          </w:r>
        </w:p>
      </w:tc>
      <w:tc>
        <w:tcPr>
          <w:tcW w:w="4424" w:type="dxa"/>
          <w:vAlign w:val="center"/>
        </w:tcPr>
        <w:p w:rsidR="00DE64CF" w:rsidRDefault="00DE64CF" w:rsidP="00D359C4">
          <w:pPr>
            <w:pStyle w:val="Footer"/>
            <w:jc w:val="right"/>
          </w:pPr>
          <w:r>
            <w:t>Health Insurance &amp; Cost Sharing</w:t>
          </w:r>
        </w:p>
      </w:tc>
    </w:tr>
    <w:tr w:rsidR="00DE64CF" w:rsidTr="00087F6A">
      <w:trPr>
        <w:trHeight w:val="312"/>
      </w:trPr>
      <w:tc>
        <w:tcPr>
          <w:tcW w:w="4424" w:type="dxa"/>
        </w:tcPr>
        <w:p w:rsidR="00DE64CF" w:rsidRDefault="00DE64CF">
          <w:pPr>
            <w:pStyle w:val="Footer"/>
          </w:pPr>
          <w:r>
            <w:t>Standards of Care</w:t>
          </w:r>
        </w:p>
      </w:tc>
      <w:tc>
        <w:tcPr>
          <w:tcW w:w="737" w:type="dxa"/>
          <w:vMerge/>
        </w:tcPr>
        <w:p w:rsidR="00DE64CF" w:rsidRDefault="00DE64CF">
          <w:pPr>
            <w:pStyle w:val="Footer"/>
          </w:pPr>
        </w:p>
      </w:tc>
      <w:tc>
        <w:tcPr>
          <w:tcW w:w="4424" w:type="dxa"/>
          <w:vAlign w:val="center"/>
        </w:tcPr>
        <w:p w:rsidR="00DE64CF" w:rsidRDefault="00DE64CF" w:rsidP="00C33AAA">
          <w:pPr>
            <w:pStyle w:val="Footer"/>
            <w:jc w:val="right"/>
          </w:pPr>
          <w:r>
            <w:t>Approved February 22, 2017</w:t>
          </w:r>
        </w:p>
      </w:tc>
    </w:tr>
  </w:tbl>
  <w:p w:rsidR="00DE64CF" w:rsidRDefault="00DE64C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22"/>
      <w:gridCol w:w="4518"/>
    </w:tblGrid>
    <w:tr w:rsidR="00DE64CF" w:rsidTr="00586B22">
      <w:tc>
        <w:tcPr>
          <w:tcW w:w="4518" w:type="dxa"/>
        </w:tcPr>
        <w:p w:rsidR="00DE64CF" w:rsidRDefault="00DE64CF" w:rsidP="00C33AAA">
          <w:pPr>
            <w:pStyle w:val="Footer"/>
          </w:pPr>
          <w:r>
            <w:t>Orlando EMA HIV Health Services</w:t>
          </w:r>
        </w:p>
      </w:tc>
      <w:tc>
        <w:tcPr>
          <w:tcW w:w="522"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56</w:t>
          </w:r>
          <w:r>
            <w:rPr>
              <w:noProof/>
            </w:rPr>
            <w:fldChar w:fldCharType="end"/>
          </w:r>
        </w:p>
      </w:tc>
      <w:tc>
        <w:tcPr>
          <w:tcW w:w="4518" w:type="dxa"/>
          <w:vAlign w:val="center"/>
        </w:tcPr>
        <w:p w:rsidR="00DE64CF" w:rsidRDefault="00DE64CF" w:rsidP="00A4657E">
          <w:pPr>
            <w:pStyle w:val="Footer"/>
            <w:jc w:val="right"/>
          </w:pPr>
          <w:r>
            <w:t>Mental Health</w:t>
          </w:r>
        </w:p>
      </w:tc>
    </w:tr>
    <w:tr w:rsidR="00DE64CF" w:rsidTr="00586B22">
      <w:tc>
        <w:tcPr>
          <w:tcW w:w="4518" w:type="dxa"/>
        </w:tcPr>
        <w:p w:rsidR="00DE64CF" w:rsidRDefault="00DE64CF" w:rsidP="00C33AAA">
          <w:pPr>
            <w:pStyle w:val="Footer"/>
          </w:pPr>
          <w:r>
            <w:t>Standards of Care</w:t>
          </w:r>
        </w:p>
      </w:tc>
      <w:tc>
        <w:tcPr>
          <w:tcW w:w="522" w:type="dxa"/>
          <w:vMerge/>
        </w:tcPr>
        <w:p w:rsidR="00DE64CF" w:rsidRDefault="00DE64CF" w:rsidP="00C33AAA">
          <w:pPr>
            <w:pStyle w:val="Footer"/>
          </w:pPr>
        </w:p>
      </w:tc>
      <w:tc>
        <w:tcPr>
          <w:tcW w:w="4518" w:type="dxa"/>
          <w:vAlign w:val="center"/>
        </w:tcPr>
        <w:p w:rsidR="00DE64CF" w:rsidRDefault="00DE64CF" w:rsidP="000859CB">
          <w:pPr>
            <w:pStyle w:val="Footer"/>
            <w:jc w:val="right"/>
          </w:pPr>
          <w:r>
            <w:t>Approved December 7, 2016</w:t>
          </w:r>
        </w:p>
      </w:tc>
    </w:tr>
  </w:tbl>
  <w:p w:rsidR="00DE64CF" w:rsidRDefault="00DE64C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50</w:t>
          </w:r>
          <w:r>
            <w:rPr>
              <w:noProof/>
            </w:rPr>
            <w:fldChar w:fldCharType="end"/>
          </w:r>
        </w:p>
      </w:tc>
      <w:tc>
        <w:tcPr>
          <w:tcW w:w="4320" w:type="dxa"/>
          <w:vAlign w:val="center"/>
        </w:tcPr>
        <w:p w:rsidR="00DE64CF" w:rsidRDefault="00DE64CF" w:rsidP="00D359C4">
          <w:pPr>
            <w:pStyle w:val="Footer"/>
            <w:jc w:val="right"/>
          </w:pPr>
          <w:r>
            <w:t>Mental Health</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0859CB">
          <w:pPr>
            <w:pStyle w:val="Footer"/>
            <w:jc w:val="right"/>
          </w:pPr>
          <w:r>
            <w:t>Approved December 7, 2016</w:t>
          </w:r>
        </w:p>
      </w:tc>
    </w:tr>
  </w:tbl>
  <w:p w:rsidR="00DE64CF" w:rsidRDefault="00DE6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1</w:t>
          </w:r>
          <w:r>
            <w:rPr>
              <w:noProof/>
            </w:rPr>
            <w:fldChar w:fldCharType="end"/>
          </w:r>
        </w:p>
      </w:tc>
      <w:tc>
        <w:tcPr>
          <w:tcW w:w="4320" w:type="dxa"/>
          <w:vAlign w:val="center"/>
        </w:tcPr>
        <w:p w:rsidR="00DE64CF" w:rsidRDefault="00DE64CF" w:rsidP="002A238E">
          <w:pPr>
            <w:pStyle w:val="Footer"/>
            <w:jc w:val="right"/>
          </w:pPr>
          <w:r>
            <w:t>Table of Content</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C33AAA">
          <w:pPr>
            <w:pStyle w:val="Footer"/>
            <w:jc w:val="right"/>
          </w:pPr>
        </w:p>
      </w:tc>
    </w:tr>
  </w:tbl>
  <w:p w:rsidR="00DE64CF" w:rsidRDefault="00DE64C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22"/>
      <w:gridCol w:w="4518"/>
    </w:tblGrid>
    <w:tr w:rsidR="00DE64CF" w:rsidTr="00586B22">
      <w:tc>
        <w:tcPr>
          <w:tcW w:w="4518" w:type="dxa"/>
        </w:tcPr>
        <w:p w:rsidR="00DE64CF" w:rsidRDefault="00DE64CF" w:rsidP="00C33AAA">
          <w:pPr>
            <w:pStyle w:val="Footer"/>
          </w:pPr>
          <w:r>
            <w:t>Orlando EMA HIV Health Services</w:t>
          </w:r>
        </w:p>
      </w:tc>
      <w:tc>
        <w:tcPr>
          <w:tcW w:w="522"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61</w:t>
          </w:r>
          <w:r>
            <w:rPr>
              <w:noProof/>
            </w:rPr>
            <w:fldChar w:fldCharType="end"/>
          </w:r>
        </w:p>
      </w:tc>
      <w:tc>
        <w:tcPr>
          <w:tcW w:w="4518" w:type="dxa"/>
          <w:vAlign w:val="center"/>
        </w:tcPr>
        <w:p w:rsidR="00DE64CF" w:rsidRDefault="00DE64CF" w:rsidP="00A4657E">
          <w:pPr>
            <w:pStyle w:val="Footer"/>
            <w:jc w:val="right"/>
          </w:pPr>
          <w:r>
            <w:t>Medical Nutrition Therapy</w:t>
          </w:r>
        </w:p>
      </w:tc>
    </w:tr>
    <w:tr w:rsidR="00DE64CF" w:rsidTr="00586B22">
      <w:tc>
        <w:tcPr>
          <w:tcW w:w="4518" w:type="dxa"/>
        </w:tcPr>
        <w:p w:rsidR="00DE64CF" w:rsidRDefault="00DE64CF" w:rsidP="00C33AAA">
          <w:pPr>
            <w:pStyle w:val="Footer"/>
          </w:pPr>
          <w:r>
            <w:t>Standards of Care</w:t>
          </w:r>
        </w:p>
      </w:tc>
      <w:tc>
        <w:tcPr>
          <w:tcW w:w="522" w:type="dxa"/>
          <w:vMerge/>
        </w:tcPr>
        <w:p w:rsidR="00DE64CF" w:rsidRDefault="00DE64CF" w:rsidP="00C33AAA">
          <w:pPr>
            <w:pStyle w:val="Footer"/>
          </w:pPr>
        </w:p>
      </w:tc>
      <w:tc>
        <w:tcPr>
          <w:tcW w:w="4518" w:type="dxa"/>
          <w:vAlign w:val="center"/>
        </w:tcPr>
        <w:p w:rsidR="00DE64CF" w:rsidRDefault="00DE64CF" w:rsidP="00A4657E">
          <w:pPr>
            <w:pStyle w:val="Footer"/>
            <w:jc w:val="right"/>
          </w:pPr>
          <w:r>
            <w:t>Approved 06/25/08 &amp; Reviewed on 3/10/16</w:t>
          </w:r>
        </w:p>
      </w:tc>
    </w:tr>
  </w:tbl>
  <w:p w:rsidR="00DE64CF" w:rsidRDefault="00DE64CF">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57</w:t>
          </w:r>
          <w:r>
            <w:rPr>
              <w:noProof/>
            </w:rPr>
            <w:fldChar w:fldCharType="end"/>
          </w:r>
        </w:p>
      </w:tc>
      <w:tc>
        <w:tcPr>
          <w:tcW w:w="4320" w:type="dxa"/>
          <w:vAlign w:val="center"/>
        </w:tcPr>
        <w:p w:rsidR="00DE64CF" w:rsidRDefault="00DE64CF" w:rsidP="0076372E">
          <w:pPr>
            <w:pStyle w:val="Footer"/>
            <w:jc w:val="right"/>
          </w:pPr>
          <w:r>
            <w:t>Medical Nutrition Therapy</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C33AAA">
          <w:pPr>
            <w:pStyle w:val="Footer"/>
            <w:jc w:val="right"/>
          </w:pPr>
          <w:r>
            <w:t>Approved 06/25/08 &amp; Reviewed on 3/10/16</w:t>
          </w:r>
        </w:p>
      </w:tc>
    </w:tr>
  </w:tbl>
  <w:p w:rsidR="00DE64CF" w:rsidRDefault="00DE64C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22"/>
      <w:gridCol w:w="4518"/>
    </w:tblGrid>
    <w:tr w:rsidR="00DE64CF" w:rsidTr="00586B22">
      <w:tc>
        <w:tcPr>
          <w:tcW w:w="4518" w:type="dxa"/>
        </w:tcPr>
        <w:p w:rsidR="00DE64CF" w:rsidRDefault="00DE64CF" w:rsidP="00C33AAA">
          <w:pPr>
            <w:pStyle w:val="Footer"/>
          </w:pPr>
          <w:r>
            <w:t>Orlando EMA HIV Health Services</w:t>
          </w:r>
        </w:p>
      </w:tc>
      <w:tc>
        <w:tcPr>
          <w:tcW w:w="522"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72</w:t>
          </w:r>
          <w:r>
            <w:rPr>
              <w:noProof/>
            </w:rPr>
            <w:fldChar w:fldCharType="end"/>
          </w:r>
        </w:p>
      </w:tc>
      <w:tc>
        <w:tcPr>
          <w:tcW w:w="4518" w:type="dxa"/>
          <w:vAlign w:val="center"/>
        </w:tcPr>
        <w:p w:rsidR="00DE64CF" w:rsidRDefault="00DE64CF" w:rsidP="00A4657E">
          <w:pPr>
            <w:pStyle w:val="Footer"/>
            <w:jc w:val="right"/>
          </w:pPr>
          <w:r>
            <w:t>Medical Case Management</w:t>
          </w:r>
        </w:p>
      </w:tc>
    </w:tr>
    <w:tr w:rsidR="00DE64CF" w:rsidTr="00586B22">
      <w:tc>
        <w:tcPr>
          <w:tcW w:w="4518" w:type="dxa"/>
        </w:tcPr>
        <w:p w:rsidR="00DE64CF" w:rsidRDefault="00DE64CF" w:rsidP="00C33AAA">
          <w:pPr>
            <w:pStyle w:val="Footer"/>
          </w:pPr>
          <w:r>
            <w:t>Standards of Care</w:t>
          </w:r>
        </w:p>
      </w:tc>
      <w:tc>
        <w:tcPr>
          <w:tcW w:w="522" w:type="dxa"/>
          <w:vMerge/>
        </w:tcPr>
        <w:p w:rsidR="00DE64CF" w:rsidRDefault="00DE64CF" w:rsidP="00C33AAA">
          <w:pPr>
            <w:pStyle w:val="Footer"/>
          </w:pPr>
        </w:p>
      </w:tc>
      <w:tc>
        <w:tcPr>
          <w:tcW w:w="4518" w:type="dxa"/>
          <w:vAlign w:val="center"/>
        </w:tcPr>
        <w:p w:rsidR="00DE64CF" w:rsidRDefault="00DE64CF" w:rsidP="00A4657E">
          <w:pPr>
            <w:pStyle w:val="Footer"/>
            <w:jc w:val="right"/>
          </w:pPr>
          <w:r>
            <w:t>Approved August 31, 2016</w:t>
          </w:r>
        </w:p>
      </w:tc>
    </w:tr>
  </w:tbl>
  <w:p w:rsidR="00DE64CF" w:rsidRDefault="00DE64CF">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62</w:t>
          </w:r>
          <w:r>
            <w:rPr>
              <w:noProof/>
            </w:rPr>
            <w:fldChar w:fldCharType="end"/>
          </w:r>
        </w:p>
      </w:tc>
      <w:tc>
        <w:tcPr>
          <w:tcW w:w="4320" w:type="dxa"/>
          <w:vAlign w:val="center"/>
        </w:tcPr>
        <w:p w:rsidR="00DE64CF" w:rsidRDefault="00DE64CF" w:rsidP="00731868">
          <w:pPr>
            <w:pStyle w:val="Footer"/>
            <w:jc w:val="right"/>
          </w:pPr>
          <w:r>
            <w:t>Medical Case Management</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C33AAA">
          <w:pPr>
            <w:pStyle w:val="Footer"/>
            <w:jc w:val="right"/>
          </w:pPr>
          <w:r>
            <w:t>Approved August 31, 2016</w:t>
          </w:r>
        </w:p>
      </w:tc>
    </w:tr>
  </w:tbl>
  <w:p w:rsidR="00DE64CF" w:rsidRDefault="00DE64CF">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CF" w:rsidRDefault="00DE64CF">
    <w:pPr>
      <w:pStyle w:val="Footer"/>
    </w:pPr>
  </w:p>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26465">
      <w:trPr>
        <w:cantSplit/>
      </w:trPr>
      <w:tc>
        <w:tcPr>
          <w:tcW w:w="4320" w:type="dxa"/>
        </w:tcPr>
        <w:p w:rsidR="00DE64CF" w:rsidRDefault="00DE64CF" w:rsidP="008579C9">
          <w:pPr>
            <w:pStyle w:val="Footer"/>
          </w:pPr>
          <w:r>
            <w:t>Orlando EMA HIV Health Services</w:t>
          </w:r>
        </w:p>
      </w:tc>
      <w:tc>
        <w:tcPr>
          <w:tcW w:w="720" w:type="dxa"/>
          <w:vMerge w:val="restart"/>
          <w:vAlign w:val="center"/>
        </w:tcPr>
        <w:p w:rsidR="00DE64CF" w:rsidRDefault="00DE64CF" w:rsidP="008579C9">
          <w:pPr>
            <w:pStyle w:val="Footer"/>
            <w:jc w:val="center"/>
          </w:pPr>
          <w:r>
            <w:fldChar w:fldCharType="begin"/>
          </w:r>
          <w:r>
            <w:instrText xml:space="preserve"> PAGE   \* MERGEFORMAT </w:instrText>
          </w:r>
          <w:r>
            <w:fldChar w:fldCharType="separate"/>
          </w:r>
          <w:r w:rsidR="00467D3C">
            <w:rPr>
              <w:noProof/>
            </w:rPr>
            <w:t>79</w:t>
          </w:r>
          <w:r>
            <w:rPr>
              <w:noProof/>
            </w:rPr>
            <w:fldChar w:fldCharType="end"/>
          </w:r>
        </w:p>
      </w:tc>
      <w:tc>
        <w:tcPr>
          <w:tcW w:w="4320" w:type="dxa"/>
          <w:vAlign w:val="center"/>
        </w:tcPr>
        <w:p w:rsidR="00DE64CF" w:rsidRDefault="00DE64CF" w:rsidP="008579C9">
          <w:pPr>
            <w:pStyle w:val="Footer"/>
            <w:jc w:val="right"/>
          </w:pPr>
          <w:r>
            <w:t>Substance Abuse (Outpatient)</w:t>
          </w:r>
        </w:p>
      </w:tc>
    </w:tr>
    <w:tr w:rsidR="00DE64CF" w:rsidTr="00826465">
      <w:trPr>
        <w:cantSplit/>
      </w:trPr>
      <w:tc>
        <w:tcPr>
          <w:tcW w:w="4320" w:type="dxa"/>
        </w:tcPr>
        <w:p w:rsidR="00DE64CF" w:rsidRDefault="00DE64CF" w:rsidP="008579C9">
          <w:pPr>
            <w:pStyle w:val="Footer"/>
          </w:pPr>
          <w:r>
            <w:t>Standards of Care</w:t>
          </w:r>
        </w:p>
      </w:tc>
      <w:tc>
        <w:tcPr>
          <w:tcW w:w="720" w:type="dxa"/>
          <w:vMerge/>
        </w:tcPr>
        <w:p w:rsidR="00DE64CF" w:rsidRDefault="00DE64CF" w:rsidP="008579C9">
          <w:pPr>
            <w:pStyle w:val="Footer"/>
          </w:pPr>
        </w:p>
      </w:tc>
      <w:tc>
        <w:tcPr>
          <w:tcW w:w="4320" w:type="dxa"/>
          <w:vAlign w:val="center"/>
        </w:tcPr>
        <w:p w:rsidR="00DE64CF" w:rsidRDefault="00DE64CF" w:rsidP="008579C9">
          <w:pPr>
            <w:pStyle w:val="Footer"/>
            <w:jc w:val="right"/>
          </w:pPr>
          <w:r>
            <w:t>Approved December 7, 2016</w:t>
          </w:r>
        </w:p>
      </w:tc>
    </w:tr>
  </w:tbl>
  <w:p w:rsidR="00DE64CF" w:rsidRDefault="00DE64CF">
    <w:pPr>
      <w:pStyle w:val="Footer"/>
    </w:pPr>
  </w:p>
  <w:p w:rsidR="00DE64CF" w:rsidRDefault="00DE64CF">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579C9">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73</w:t>
          </w:r>
          <w:r>
            <w:rPr>
              <w:noProof/>
            </w:rPr>
            <w:fldChar w:fldCharType="end"/>
          </w:r>
        </w:p>
      </w:tc>
      <w:tc>
        <w:tcPr>
          <w:tcW w:w="4320" w:type="dxa"/>
        </w:tcPr>
        <w:p w:rsidR="00DE64CF" w:rsidRPr="005D6DC0" w:rsidRDefault="00DE64CF" w:rsidP="007C4F82">
          <w:pPr>
            <w:jc w:val="right"/>
          </w:pPr>
          <w:r w:rsidRPr="005D6DC0">
            <w:t>Substance Abuse (Outpatient)</w:t>
          </w:r>
        </w:p>
      </w:tc>
    </w:tr>
    <w:tr w:rsidR="00DE64CF" w:rsidTr="008579C9">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tcPr>
        <w:p w:rsidR="00DE64CF" w:rsidRDefault="00DE64CF" w:rsidP="007C4F82">
          <w:pPr>
            <w:jc w:val="right"/>
          </w:pPr>
          <w:r w:rsidRPr="005D6DC0">
            <w:t>Approved December 7, 2016</w:t>
          </w:r>
        </w:p>
      </w:tc>
    </w:tr>
  </w:tbl>
  <w:p w:rsidR="00DE64CF" w:rsidRDefault="00DE64CF">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80</w:t>
          </w:r>
          <w:r>
            <w:rPr>
              <w:noProof/>
            </w:rPr>
            <w:fldChar w:fldCharType="end"/>
          </w:r>
        </w:p>
      </w:tc>
      <w:tc>
        <w:tcPr>
          <w:tcW w:w="4320" w:type="dxa"/>
          <w:vAlign w:val="center"/>
        </w:tcPr>
        <w:p w:rsidR="00DE64CF" w:rsidRDefault="00DE64CF" w:rsidP="00731868">
          <w:pPr>
            <w:pStyle w:val="Footer"/>
            <w:jc w:val="right"/>
          </w:pPr>
          <w:r w:rsidRPr="00A921E5">
            <w:t>Support Services</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5F3069">
          <w:pPr>
            <w:pStyle w:val="Footer"/>
            <w:jc w:val="right"/>
          </w:pPr>
        </w:p>
      </w:tc>
    </w:tr>
  </w:tbl>
  <w:p w:rsidR="00DE64CF" w:rsidRDefault="00DE64CF">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CF" w:rsidRDefault="00DE64CF">
    <w:pPr>
      <w:pStyle w:val="Footer"/>
    </w:pPr>
  </w:p>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579C9">
      <w:trPr>
        <w:cantSplit/>
      </w:trPr>
      <w:tc>
        <w:tcPr>
          <w:tcW w:w="4320" w:type="dxa"/>
        </w:tcPr>
        <w:p w:rsidR="00DE64CF" w:rsidRDefault="00DE64CF" w:rsidP="008579C9">
          <w:pPr>
            <w:pStyle w:val="Footer"/>
          </w:pPr>
          <w:r>
            <w:t>Orlando EMA HIV Health Services</w:t>
          </w:r>
        </w:p>
      </w:tc>
      <w:tc>
        <w:tcPr>
          <w:tcW w:w="720" w:type="dxa"/>
          <w:vMerge w:val="restart"/>
          <w:vAlign w:val="center"/>
        </w:tcPr>
        <w:p w:rsidR="00DE64CF" w:rsidRDefault="00DE64CF" w:rsidP="008579C9">
          <w:pPr>
            <w:pStyle w:val="Footer"/>
            <w:jc w:val="center"/>
          </w:pPr>
          <w:r>
            <w:fldChar w:fldCharType="begin"/>
          </w:r>
          <w:r>
            <w:instrText xml:space="preserve"> PAGE   \* MERGEFORMAT </w:instrText>
          </w:r>
          <w:r>
            <w:fldChar w:fldCharType="separate"/>
          </w:r>
          <w:r w:rsidR="00467D3C">
            <w:rPr>
              <w:noProof/>
            </w:rPr>
            <w:t>88</w:t>
          </w:r>
          <w:r>
            <w:rPr>
              <w:noProof/>
            </w:rPr>
            <w:fldChar w:fldCharType="end"/>
          </w:r>
        </w:p>
      </w:tc>
      <w:tc>
        <w:tcPr>
          <w:tcW w:w="4320" w:type="dxa"/>
        </w:tcPr>
        <w:p w:rsidR="00DE64CF" w:rsidRPr="00804965" w:rsidRDefault="00DE64CF" w:rsidP="007C4F82">
          <w:pPr>
            <w:jc w:val="right"/>
          </w:pPr>
          <w:r w:rsidRPr="00804965">
            <w:t>Non-Medical Case Management</w:t>
          </w:r>
        </w:p>
      </w:tc>
    </w:tr>
    <w:tr w:rsidR="00DE64CF" w:rsidTr="008579C9">
      <w:trPr>
        <w:cantSplit/>
      </w:trPr>
      <w:tc>
        <w:tcPr>
          <w:tcW w:w="4320" w:type="dxa"/>
        </w:tcPr>
        <w:p w:rsidR="00DE64CF" w:rsidRDefault="00DE64CF" w:rsidP="008579C9">
          <w:pPr>
            <w:pStyle w:val="Footer"/>
          </w:pPr>
          <w:r>
            <w:t>Standards of Care</w:t>
          </w:r>
        </w:p>
      </w:tc>
      <w:tc>
        <w:tcPr>
          <w:tcW w:w="720" w:type="dxa"/>
          <w:vMerge/>
        </w:tcPr>
        <w:p w:rsidR="00DE64CF" w:rsidRDefault="00DE64CF" w:rsidP="008579C9">
          <w:pPr>
            <w:pStyle w:val="Footer"/>
          </w:pPr>
        </w:p>
      </w:tc>
      <w:tc>
        <w:tcPr>
          <w:tcW w:w="4320" w:type="dxa"/>
        </w:tcPr>
        <w:p w:rsidR="00DE64CF" w:rsidRDefault="00DE64CF" w:rsidP="007C4F82">
          <w:pPr>
            <w:jc w:val="right"/>
          </w:pPr>
          <w:r w:rsidRPr="00804965">
            <w:t>Approved April 26, 2016</w:t>
          </w:r>
        </w:p>
      </w:tc>
    </w:tr>
  </w:tbl>
  <w:p w:rsidR="00DE64CF" w:rsidRDefault="00DE64CF">
    <w:pPr>
      <w:pStyle w:val="Footer"/>
    </w:pPr>
  </w:p>
  <w:p w:rsidR="00DE64CF" w:rsidRDefault="00DE64CF">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81</w:t>
          </w:r>
          <w:r>
            <w:rPr>
              <w:noProof/>
            </w:rPr>
            <w:fldChar w:fldCharType="end"/>
          </w:r>
        </w:p>
      </w:tc>
      <w:tc>
        <w:tcPr>
          <w:tcW w:w="4320" w:type="dxa"/>
          <w:vAlign w:val="center"/>
        </w:tcPr>
        <w:p w:rsidR="00DE64CF" w:rsidRDefault="00DE64CF" w:rsidP="007C4F82">
          <w:pPr>
            <w:pStyle w:val="Footer"/>
            <w:jc w:val="right"/>
          </w:pPr>
          <w:r>
            <w:t>Non-Medical Case Management</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5F3069">
          <w:pPr>
            <w:pStyle w:val="Footer"/>
            <w:jc w:val="right"/>
          </w:pPr>
          <w:r>
            <w:t>Approved April 26, 2016</w:t>
          </w:r>
        </w:p>
      </w:tc>
    </w:tr>
  </w:tbl>
  <w:p w:rsidR="00DE64CF" w:rsidRDefault="00DE64CF">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90</w:t>
          </w:r>
          <w:r>
            <w:rPr>
              <w:noProof/>
            </w:rPr>
            <w:fldChar w:fldCharType="end"/>
          </w:r>
        </w:p>
      </w:tc>
      <w:tc>
        <w:tcPr>
          <w:tcW w:w="4320" w:type="dxa"/>
          <w:vAlign w:val="center"/>
        </w:tcPr>
        <w:p w:rsidR="00DE64CF" w:rsidRDefault="00DE64CF" w:rsidP="00731868">
          <w:pPr>
            <w:pStyle w:val="Footer"/>
            <w:jc w:val="right"/>
          </w:pPr>
          <w:r>
            <w:t>Emergency Financial Assistance</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BA06FB">
          <w:pPr>
            <w:pStyle w:val="Footer"/>
            <w:jc w:val="right"/>
          </w:pPr>
          <w:r>
            <w:t>Approved February 22, 2017</w:t>
          </w:r>
        </w:p>
      </w:tc>
    </w:tr>
  </w:tbl>
  <w:p w:rsidR="00DE64CF" w:rsidRDefault="00DE6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DB0CB6">
      <w:tc>
        <w:tcPr>
          <w:tcW w:w="4320" w:type="dxa"/>
          <w:shd w:val="clear" w:color="auto" w:fill="auto"/>
        </w:tcPr>
        <w:p w:rsidR="00DE64CF" w:rsidRDefault="00DE64CF" w:rsidP="005266B8">
          <w:pPr>
            <w:pStyle w:val="Footer"/>
          </w:pPr>
          <w:r>
            <w:t>Orlando EMA HIV Health Services</w:t>
          </w:r>
        </w:p>
      </w:tc>
      <w:tc>
        <w:tcPr>
          <w:tcW w:w="720" w:type="dxa"/>
          <w:vMerge w:val="restart"/>
          <w:vAlign w:val="center"/>
        </w:tcPr>
        <w:p w:rsidR="00DE64CF" w:rsidRDefault="00DE64CF" w:rsidP="005266B8">
          <w:pPr>
            <w:pStyle w:val="Footer"/>
            <w:jc w:val="center"/>
          </w:pPr>
          <w:r>
            <w:fldChar w:fldCharType="begin"/>
          </w:r>
          <w:r>
            <w:instrText xml:space="preserve"> PAGE   \* MERGEFORMAT </w:instrText>
          </w:r>
          <w:r>
            <w:fldChar w:fldCharType="separate"/>
          </w:r>
          <w:r w:rsidR="00467D3C">
            <w:rPr>
              <w:noProof/>
            </w:rPr>
            <w:t>2</w:t>
          </w:r>
          <w:r>
            <w:rPr>
              <w:noProof/>
            </w:rPr>
            <w:fldChar w:fldCharType="end"/>
          </w:r>
        </w:p>
      </w:tc>
      <w:tc>
        <w:tcPr>
          <w:tcW w:w="4320" w:type="dxa"/>
          <w:vAlign w:val="center"/>
        </w:tcPr>
        <w:p w:rsidR="00DE64CF" w:rsidRDefault="00DE64CF" w:rsidP="005266B8">
          <w:pPr>
            <w:pStyle w:val="Footer"/>
            <w:jc w:val="right"/>
          </w:pPr>
          <w:r>
            <w:t>Table of Content</w:t>
          </w:r>
        </w:p>
      </w:tc>
    </w:tr>
    <w:tr w:rsidR="00DE64CF" w:rsidTr="005266B8">
      <w:tc>
        <w:tcPr>
          <w:tcW w:w="4320" w:type="dxa"/>
        </w:tcPr>
        <w:p w:rsidR="00DE64CF" w:rsidRDefault="00DE64CF" w:rsidP="005266B8">
          <w:pPr>
            <w:pStyle w:val="Footer"/>
          </w:pPr>
          <w:r>
            <w:t>Standards of Care</w:t>
          </w:r>
        </w:p>
      </w:tc>
      <w:tc>
        <w:tcPr>
          <w:tcW w:w="720" w:type="dxa"/>
          <w:vMerge/>
        </w:tcPr>
        <w:p w:rsidR="00DE64CF" w:rsidRDefault="00DE64CF" w:rsidP="005266B8">
          <w:pPr>
            <w:pStyle w:val="Footer"/>
          </w:pPr>
        </w:p>
      </w:tc>
      <w:tc>
        <w:tcPr>
          <w:tcW w:w="4320" w:type="dxa"/>
          <w:vAlign w:val="center"/>
        </w:tcPr>
        <w:p w:rsidR="00DE64CF" w:rsidRDefault="00DE64CF" w:rsidP="005266B8">
          <w:pPr>
            <w:pStyle w:val="Footer"/>
            <w:jc w:val="right"/>
          </w:pPr>
        </w:p>
      </w:tc>
    </w:tr>
  </w:tbl>
  <w:p w:rsidR="00DE64CF" w:rsidRDefault="00DE64CF">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CF" w:rsidRDefault="00DE64CF">
    <w:pPr>
      <w:pStyle w:val="Footer"/>
    </w:pPr>
  </w:p>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579C9">
      <w:trPr>
        <w:cantSplit/>
      </w:trPr>
      <w:tc>
        <w:tcPr>
          <w:tcW w:w="4320" w:type="dxa"/>
        </w:tcPr>
        <w:p w:rsidR="00DE64CF" w:rsidRDefault="00DE64CF" w:rsidP="008579C9">
          <w:pPr>
            <w:pStyle w:val="Footer"/>
          </w:pPr>
          <w:r>
            <w:t>Orlando EMA HIV Health Services</w:t>
          </w:r>
        </w:p>
      </w:tc>
      <w:tc>
        <w:tcPr>
          <w:tcW w:w="720" w:type="dxa"/>
          <w:vMerge w:val="restart"/>
          <w:vAlign w:val="center"/>
        </w:tcPr>
        <w:p w:rsidR="00DE64CF" w:rsidRDefault="00DE64CF" w:rsidP="008579C9">
          <w:pPr>
            <w:pStyle w:val="Footer"/>
            <w:jc w:val="center"/>
          </w:pPr>
          <w:r>
            <w:fldChar w:fldCharType="begin"/>
          </w:r>
          <w:r>
            <w:instrText xml:space="preserve"> PAGE   \* MERGEFORMAT </w:instrText>
          </w:r>
          <w:r>
            <w:fldChar w:fldCharType="separate"/>
          </w:r>
          <w:r w:rsidR="00467D3C">
            <w:rPr>
              <w:noProof/>
            </w:rPr>
            <w:t>95</w:t>
          </w:r>
          <w:r>
            <w:rPr>
              <w:noProof/>
            </w:rPr>
            <w:fldChar w:fldCharType="end"/>
          </w:r>
        </w:p>
      </w:tc>
      <w:tc>
        <w:tcPr>
          <w:tcW w:w="4320" w:type="dxa"/>
        </w:tcPr>
        <w:p w:rsidR="00DE64CF" w:rsidRPr="000B413F" w:rsidRDefault="00DE64CF" w:rsidP="00826465">
          <w:pPr>
            <w:jc w:val="right"/>
          </w:pPr>
          <w:r w:rsidRPr="000B413F">
            <w:t>Food Bank</w:t>
          </w:r>
        </w:p>
      </w:tc>
    </w:tr>
    <w:tr w:rsidR="00DE64CF" w:rsidTr="008579C9">
      <w:trPr>
        <w:cantSplit/>
      </w:trPr>
      <w:tc>
        <w:tcPr>
          <w:tcW w:w="4320" w:type="dxa"/>
        </w:tcPr>
        <w:p w:rsidR="00DE64CF" w:rsidRDefault="00DE64CF" w:rsidP="008579C9">
          <w:pPr>
            <w:pStyle w:val="Footer"/>
          </w:pPr>
          <w:r>
            <w:t>Standards of Care</w:t>
          </w:r>
        </w:p>
      </w:tc>
      <w:tc>
        <w:tcPr>
          <w:tcW w:w="720" w:type="dxa"/>
          <w:vMerge/>
        </w:tcPr>
        <w:p w:rsidR="00DE64CF" w:rsidRDefault="00DE64CF" w:rsidP="008579C9">
          <w:pPr>
            <w:pStyle w:val="Footer"/>
          </w:pPr>
        </w:p>
      </w:tc>
      <w:tc>
        <w:tcPr>
          <w:tcW w:w="4320" w:type="dxa"/>
        </w:tcPr>
        <w:p w:rsidR="00DE64CF" w:rsidRDefault="00DE64CF" w:rsidP="00826465">
          <w:pPr>
            <w:jc w:val="right"/>
          </w:pPr>
          <w:r w:rsidRPr="000B413F">
            <w:t>Approved April 26, 2017</w:t>
          </w:r>
        </w:p>
      </w:tc>
    </w:tr>
  </w:tbl>
  <w:p w:rsidR="00DE64CF" w:rsidRDefault="00DE64CF">
    <w:pPr>
      <w:pStyle w:val="Footer"/>
    </w:pPr>
  </w:p>
  <w:p w:rsidR="00DE64CF" w:rsidRDefault="00DE64CF">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518"/>
    </w:tblGrid>
    <w:tr w:rsidR="00DE64CF" w:rsidTr="00826465">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91</w:t>
          </w:r>
          <w:r>
            <w:rPr>
              <w:noProof/>
            </w:rPr>
            <w:fldChar w:fldCharType="end"/>
          </w:r>
        </w:p>
      </w:tc>
      <w:tc>
        <w:tcPr>
          <w:tcW w:w="4518" w:type="dxa"/>
          <w:vAlign w:val="center"/>
        </w:tcPr>
        <w:p w:rsidR="00DE64CF" w:rsidRDefault="00DE64CF" w:rsidP="00731868">
          <w:pPr>
            <w:pStyle w:val="Footer"/>
            <w:jc w:val="right"/>
          </w:pPr>
          <w:r>
            <w:t>Food Bank</w:t>
          </w:r>
        </w:p>
      </w:tc>
    </w:tr>
    <w:tr w:rsidR="00DE64CF" w:rsidTr="00826465">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518" w:type="dxa"/>
          <w:vAlign w:val="center"/>
        </w:tcPr>
        <w:p w:rsidR="00DE64CF" w:rsidRDefault="00DE64CF" w:rsidP="00BA06FB">
          <w:pPr>
            <w:pStyle w:val="Footer"/>
            <w:jc w:val="right"/>
          </w:pPr>
          <w:r>
            <w:t>Approved April 26, 2017</w:t>
          </w:r>
        </w:p>
      </w:tc>
    </w:tr>
  </w:tbl>
  <w:p w:rsidR="00DE64CF" w:rsidRDefault="00DE64CF">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720"/>
      <w:gridCol w:w="4320"/>
    </w:tblGrid>
    <w:tr w:rsidR="00467D3C" w:rsidTr="00467D3C">
      <w:tc>
        <w:tcPr>
          <w:tcW w:w="4518" w:type="dxa"/>
        </w:tcPr>
        <w:p w:rsidR="00467D3C" w:rsidRDefault="00467D3C" w:rsidP="00C33AAA">
          <w:pPr>
            <w:pStyle w:val="Footer"/>
          </w:pPr>
          <w:r>
            <w:t>Orlando EMA HIV Health Services</w:t>
          </w:r>
        </w:p>
      </w:tc>
      <w:tc>
        <w:tcPr>
          <w:tcW w:w="720" w:type="dxa"/>
          <w:vMerge w:val="restart"/>
          <w:vAlign w:val="center"/>
        </w:tcPr>
        <w:p w:rsidR="00467D3C" w:rsidRDefault="00467D3C" w:rsidP="00C33AAA">
          <w:pPr>
            <w:pStyle w:val="Footer"/>
            <w:jc w:val="center"/>
          </w:pPr>
          <w:r>
            <w:fldChar w:fldCharType="begin"/>
          </w:r>
          <w:r>
            <w:instrText xml:space="preserve"> PAGE   \* MERGEFORMAT </w:instrText>
          </w:r>
          <w:r>
            <w:fldChar w:fldCharType="separate"/>
          </w:r>
          <w:r>
            <w:rPr>
              <w:noProof/>
            </w:rPr>
            <w:t>101</w:t>
          </w:r>
          <w:r>
            <w:rPr>
              <w:noProof/>
            </w:rPr>
            <w:fldChar w:fldCharType="end"/>
          </w:r>
        </w:p>
      </w:tc>
      <w:tc>
        <w:tcPr>
          <w:tcW w:w="4320" w:type="dxa"/>
          <w:vAlign w:val="center"/>
        </w:tcPr>
        <w:p w:rsidR="00467D3C" w:rsidRDefault="00467D3C" w:rsidP="0029592D">
          <w:pPr>
            <w:pStyle w:val="Footer"/>
            <w:jc w:val="right"/>
          </w:pPr>
          <w:r>
            <w:t>Medical Transportation</w:t>
          </w:r>
        </w:p>
      </w:tc>
    </w:tr>
    <w:tr w:rsidR="00467D3C" w:rsidTr="00467D3C">
      <w:tc>
        <w:tcPr>
          <w:tcW w:w="4518" w:type="dxa"/>
        </w:tcPr>
        <w:p w:rsidR="00467D3C" w:rsidRDefault="00467D3C" w:rsidP="00C33AAA">
          <w:pPr>
            <w:pStyle w:val="Footer"/>
          </w:pPr>
          <w:r>
            <w:t>Standards of Care</w:t>
          </w:r>
        </w:p>
      </w:tc>
      <w:tc>
        <w:tcPr>
          <w:tcW w:w="720" w:type="dxa"/>
          <w:vMerge/>
        </w:tcPr>
        <w:p w:rsidR="00467D3C" w:rsidRDefault="00467D3C" w:rsidP="00C33AAA">
          <w:pPr>
            <w:pStyle w:val="Footer"/>
          </w:pPr>
        </w:p>
      </w:tc>
      <w:tc>
        <w:tcPr>
          <w:tcW w:w="4320" w:type="dxa"/>
          <w:vAlign w:val="center"/>
        </w:tcPr>
        <w:p w:rsidR="00467D3C" w:rsidRDefault="00467D3C" w:rsidP="0029592D">
          <w:pPr>
            <w:pStyle w:val="Footer"/>
            <w:jc w:val="right"/>
          </w:pPr>
          <w:r>
            <w:t>Approved June 28, 2017</w:t>
          </w:r>
        </w:p>
      </w:tc>
    </w:tr>
  </w:tbl>
  <w:p w:rsidR="00DE64CF" w:rsidRDefault="00DE64CF">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96</w:t>
          </w:r>
          <w:r>
            <w:rPr>
              <w:noProof/>
            </w:rPr>
            <w:fldChar w:fldCharType="end"/>
          </w:r>
        </w:p>
      </w:tc>
      <w:tc>
        <w:tcPr>
          <w:tcW w:w="4320" w:type="dxa"/>
          <w:vAlign w:val="center"/>
        </w:tcPr>
        <w:p w:rsidR="00DE64CF" w:rsidRDefault="00DE64CF" w:rsidP="00731868">
          <w:pPr>
            <w:pStyle w:val="Footer"/>
            <w:jc w:val="right"/>
          </w:pPr>
          <w:r>
            <w:t>Medical Transportation</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456EA7">
          <w:pPr>
            <w:pStyle w:val="Footer"/>
            <w:jc w:val="right"/>
          </w:pPr>
          <w:r>
            <w:t xml:space="preserve">Approved </w:t>
          </w:r>
          <w:r w:rsidR="00456EA7">
            <w:t>June 28</w:t>
          </w:r>
          <w:r>
            <w:t>, 201</w:t>
          </w:r>
          <w:r w:rsidR="00456EA7">
            <w:t>7</w:t>
          </w:r>
        </w:p>
      </w:tc>
    </w:tr>
  </w:tbl>
  <w:p w:rsidR="00DE64CF" w:rsidRDefault="00DE64CF">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720"/>
      <w:gridCol w:w="4320"/>
    </w:tblGrid>
    <w:tr w:rsidR="00DE64CF" w:rsidTr="008579C9">
      <w:tc>
        <w:tcPr>
          <w:tcW w:w="4518" w:type="dxa"/>
        </w:tcPr>
        <w:p w:rsidR="00DE64CF" w:rsidRDefault="00DE64CF" w:rsidP="00C33AAA">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108</w:t>
          </w:r>
          <w:r>
            <w:rPr>
              <w:noProof/>
            </w:rPr>
            <w:fldChar w:fldCharType="end"/>
          </w:r>
        </w:p>
      </w:tc>
      <w:tc>
        <w:tcPr>
          <w:tcW w:w="4320" w:type="dxa"/>
        </w:tcPr>
        <w:p w:rsidR="00DE64CF" w:rsidRPr="00F642A7" w:rsidRDefault="00DE64CF" w:rsidP="00337742">
          <w:pPr>
            <w:jc w:val="right"/>
          </w:pPr>
          <w:r w:rsidRPr="00F642A7">
            <w:t>Substance Abuse - Residential</w:t>
          </w:r>
        </w:p>
      </w:tc>
    </w:tr>
    <w:tr w:rsidR="00DE64CF" w:rsidTr="008579C9">
      <w:tc>
        <w:tcPr>
          <w:tcW w:w="4518" w:type="dxa"/>
        </w:tcPr>
        <w:p w:rsidR="00DE64CF" w:rsidRDefault="00DE64CF" w:rsidP="00C33AAA">
          <w:pPr>
            <w:pStyle w:val="Footer"/>
          </w:pPr>
          <w:r>
            <w:t>Standards of Care</w:t>
          </w:r>
        </w:p>
      </w:tc>
      <w:tc>
        <w:tcPr>
          <w:tcW w:w="720" w:type="dxa"/>
          <w:vMerge/>
        </w:tcPr>
        <w:p w:rsidR="00DE64CF" w:rsidRDefault="00DE64CF" w:rsidP="00C33AAA">
          <w:pPr>
            <w:pStyle w:val="Footer"/>
          </w:pPr>
        </w:p>
      </w:tc>
      <w:tc>
        <w:tcPr>
          <w:tcW w:w="4320" w:type="dxa"/>
        </w:tcPr>
        <w:p w:rsidR="00DE64CF" w:rsidRDefault="00DE64CF" w:rsidP="00337742">
          <w:pPr>
            <w:jc w:val="right"/>
          </w:pPr>
          <w:r w:rsidRPr="00F642A7">
            <w:t>Approved December 7, 2016</w:t>
          </w:r>
        </w:p>
      </w:tc>
    </w:tr>
  </w:tbl>
  <w:p w:rsidR="00DE64CF" w:rsidRDefault="00DE64CF">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337742">
      <w:trPr>
        <w:trHeight w:val="20"/>
      </w:trPr>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102</w:t>
          </w:r>
          <w:r>
            <w:rPr>
              <w:noProof/>
            </w:rPr>
            <w:fldChar w:fldCharType="end"/>
          </w:r>
        </w:p>
      </w:tc>
      <w:tc>
        <w:tcPr>
          <w:tcW w:w="4320" w:type="dxa"/>
        </w:tcPr>
        <w:p w:rsidR="00DE64CF" w:rsidRPr="00115A3B" w:rsidRDefault="00DE64CF" w:rsidP="00337742">
          <w:pPr>
            <w:jc w:val="right"/>
          </w:pPr>
          <w:r w:rsidRPr="00115A3B">
            <w:t>Substance Abuse - Residential</w:t>
          </w:r>
        </w:p>
      </w:tc>
    </w:tr>
    <w:tr w:rsidR="00DE64CF" w:rsidTr="008579C9">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tcPr>
        <w:p w:rsidR="00DE64CF" w:rsidRDefault="00DE64CF" w:rsidP="00337742">
          <w:pPr>
            <w:jc w:val="right"/>
          </w:pPr>
          <w:r w:rsidRPr="00115A3B">
            <w:t>Approved December 7, 2016</w:t>
          </w:r>
        </w:p>
      </w:tc>
    </w:tr>
  </w:tbl>
  <w:p w:rsidR="00DE64CF" w:rsidRDefault="00DE64CF">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720"/>
      <w:gridCol w:w="4320"/>
    </w:tblGrid>
    <w:tr w:rsidR="00DE64CF" w:rsidTr="008579C9">
      <w:tc>
        <w:tcPr>
          <w:tcW w:w="4518" w:type="dxa"/>
        </w:tcPr>
        <w:p w:rsidR="00DE64CF" w:rsidRDefault="00DE64CF" w:rsidP="00C33AAA">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114</w:t>
          </w:r>
          <w:r>
            <w:rPr>
              <w:noProof/>
            </w:rPr>
            <w:fldChar w:fldCharType="end"/>
          </w:r>
        </w:p>
      </w:tc>
      <w:tc>
        <w:tcPr>
          <w:tcW w:w="4320" w:type="dxa"/>
        </w:tcPr>
        <w:p w:rsidR="00DE64CF" w:rsidRPr="00BE63DF" w:rsidRDefault="00DE64CF" w:rsidP="00337742">
          <w:pPr>
            <w:jc w:val="right"/>
          </w:pPr>
          <w:r w:rsidRPr="00BE63DF">
            <w:t>Psychosocial Support Services</w:t>
          </w:r>
        </w:p>
      </w:tc>
    </w:tr>
    <w:tr w:rsidR="00DE64CF" w:rsidTr="008579C9">
      <w:tc>
        <w:tcPr>
          <w:tcW w:w="4518" w:type="dxa"/>
        </w:tcPr>
        <w:p w:rsidR="00DE64CF" w:rsidRDefault="00DE64CF" w:rsidP="00C33AAA">
          <w:pPr>
            <w:pStyle w:val="Footer"/>
          </w:pPr>
          <w:r>
            <w:t>Standards of Care</w:t>
          </w:r>
        </w:p>
      </w:tc>
      <w:tc>
        <w:tcPr>
          <w:tcW w:w="720" w:type="dxa"/>
          <w:vMerge/>
        </w:tcPr>
        <w:p w:rsidR="00DE64CF" w:rsidRDefault="00DE64CF" w:rsidP="00C33AAA">
          <w:pPr>
            <w:pStyle w:val="Footer"/>
          </w:pPr>
        </w:p>
      </w:tc>
      <w:tc>
        <w:tcPr>
          <w:tcW w:w="4320" w:type="dxa"/>
        </w:tcPr>
        <w:p w:rsidR="00DE64CF" w:rsidRDefault="00DE64CF" w:rsidP="00337742">
          <w:pPr>
            <w:jc w:val="right"/>
          </w:pPr>
          <w:r w:rsidRPr="00BE63DF">
            <w:t>Approved June 29,2016</w:t>
          </w:r>
        </w:p>
      </w:tc>
    </w:tr>
  </w:tbl>
  <w:p w:rsidR="00DE64CF" w:rsidRDefault="00DE64CF">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337742">
      <w:trPr>
        <w:trHeight w:val="20"/>
      </w:trPr>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109</w:t>
          </w:r>
          <w:r>
            <w:rPr>
              <w:noProof/>
            </w:rPr>
            <w:fldChar w:fldCharType="end"/>
          </w:r>
        </w:p>
      </w:tc>
      <w:tc>
        <w:tcPr>
          <w:tcW w:w="4320" w:type="dxa"/>
        </w:tcPr>
        <w:p w:rsidR="00DE64CF" w:rsidRPr="002D4231" w:rsidRDefault="00DE64CF" w:rsidP="00337742">
          <w:pPr>
            <w:jc w:val="right"/>
          </w:pPr>
          <w:r w:rsidRPr="002D4231">
            <w:t>Psychosocial Support Services</w:t>
          </w:r>
        </w:p>
      </w:tc>
    </w:tr>
    <w:tr w:rsidR="00DE64CF" w:rsidTr="008579C9">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tcPr>
        <w:p w:rsidR="00DE64CF" w:rsidRDefault="00DE64CF" w:rsidP="00337742">
          <w:pPr>
            <w:jc w:val="right"/>
          </w:pPr>
          <w:r w:rsidRPr="002D4231">
            <w:t>Approved June 29,2016</w:t>
          </w:r>
        </w:p>
      </w:tc>
    </w:tr>
  </w:tbl>
  <w:p w:rsidR="00DE64CF" w:rsidRDefault="00DE64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1</w:t>
          </w:r>
          <w:r>
            <w:rPr>
              <w:noProof/>
            </w:rPr>
            <w:fldChar w:fldCharType="end"/>
          </w:r>
        </w:p>
      </w:tc>
      <w:tc>
        <w:tcPr>
          <w:tcW w:w="4320" w:type="dxa"/>
          <w:vAlign w:val="center"/>
        </w:tcPr>
        <w:p w:rsidR="00DE64CF" w:rsidRDefault="00DE64CF" w:rsidP="002A238E">
          <w:pPr>
            <w:pStyle w:val="Footer"/>
            <w:jc w:val="right"/>
          </w:pPr>
          <w:r>
            <w:t>Table of Content</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C33AAA">
          <w:pPr>
            <w:pStyle w:val="Footer"/>
            <w:jc w:val="right"/>
          </w:pPr>
        </w:p>
      </w:tc>
    </w:tr>
  </w:tbl>
  <w:p w:rsidR="00DE64CF" w:rsidRDefault="00DE64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DB0CB6">
      <w:tc>
        <w:tcPr>
          <w:tcW w:w="4320" w:type="dxa"/>
          <w:shd w:val="clear" w:color="auto" w:fill="auto"/>
        </w:tcPr>
        <w:p w:rsidR="00DE64CF" w:rsidRDefault="00DE64CF" w:rsidP="005266B8">
          <w:pPr>
            <w:pStyle w:val="Footer"/>
          </w:pPr>
          <w:r>
            <w:t>Orlando EMA HIV Health Services</w:t>
          </w:r>
        </w:p>
      </w:tc>
      <w:tc>
        <w:tcPr>
          <w:tcW w:w="720" w:type="dxa"/>
          <w:vMerge w:val="restart"/>
          <w:vAlign w:val="center"/>
        </w:tcPr>
        <w:p w:rsidR="00DE64CF" w:rsidRDefault="00DE64CF" w:rsidP="005266B8">
          <w:pPr>
            <w:pStyle w:val="Footer"/>
            <w:jc w:val="center"/>
          </w:pPr>
          <w:r>
            <w:fldChar w:fldCharType="begin"/>
          </w:r>
          <w:r>
            <w:instrText xml:space="preserve"> PAGE   \* MERGEFORMAT </w:instrText>
          </w:r>
          <w:r>
            <w:fldChar w:fldCharType="separate"/>
          </w:r>
          <w:r w:rsidR="00467D3C">
            <w:rPr>
              <w:noProof/>
            </w:rPr>
            <w:t>23</w:t>
          </w:r>
          <w:r>
            <w:rPr>
              <w:noProof/>
            </w:rPr>
            <w:fldChar w:fldCharType="end"/>
          </w:r>
        </w:p>
      </w:tc>
      <w:tc>
        <w:tcPr>
          <w:tcW w:w="4320" w:type="dxa"/>
          <w:vAlign w:val="center"/>
        </w:tcPr>
        <w:p w:rsidR="00DE64CF" w:rsidRDefault="00DE64CF" w:rsidP="005266B8">
          <w:pPr>
            <w:pStyle w:val="Footer"/>
            <w:jc w:val="right"/>
          </w:pPr>
          <w:r w:rsidRPr="00826FDA">
            <w:t>System Wide Service Standards</w:t>
          </w:r>
        </w:p>
      </w:tc>
    </w:tr>
    <w:tr w:rsidR="00DE64CF" w:rsidTr="005266B8">
      <w:tc>
        <w:tcPr>
          <w:tcW w:w="4320" w:type="dxa"/>
        </w:tcPr>
        <w:p w:rsidR="00DE64CF" w:rsidRDefault="00DE64CF" w:rsidP="005266B8">
          <w:pPr>
            <w:pStyle w:val="Footer"/>
          </w:pPr>
          <w:r>
            <w:t>Standards of Care</w:t>
          </w:r>
        </w:p>
      </w:tc>
      <w:tc>
        <w:tcPr>
          <w:tcW w:w="720" w:type="dxa"/>
          <w:vMerge/>
        </w:tcPr>
        <w:p w:rsidR="00DE64CF" w:rsidRDefault="00DE64CF" w:rsidP="005266B8">
          <w:pPr>
            <w:pStyle w:val="Footer"/>
          </w:pPr>
        </w:p>
      </w:tc>
      <w:tc>
        <w:tcPr>
          <w:tcW w:w="4320" w:type="dxa"/>
          <w:vAlign w:val="center"/>
        </w:tcPr>
        <w:p w:rsidR="00DE64CF" w:rsidRDefault="00456EA7" w:rsidP="005266B8">
          <w:pPr>
            <w:pStyle w:val="Footer"/>
            <w:jc w:val="right"/>
          </w:pPr>
          <w:r>
            <w:t xml:space="preserve">Approved </w:t>
          </w:r>
          <w:r w:rsidR="00DE64CF">
            <w:t>January 25, 2017</w:t>
          </w:r>
        </w:p>
      </w:tc>
    </w:tr>
  </w:tbl>
  <w:p w:rsidR="00DE64CF" w:rsidRDefault="00DE64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4</w:t>
          </w:r>
          <w:r>
            <w:rPr>
              <w:noProof/>
            </w:rPr>
            <w:fldChar w:fldCharType="end"/>
          </w:r>
        </w:p>
      </w:tc>
      <w:tc>
        <w:tcPr>
          <w:tcW w:w="4320" w:type="dxa"/>
          <w:vAlign w:val="center"/>
        </w:tcPr>
        <w:p w:rsidR="00DE64CF" w:rsidRDefault="00DE64CF" w:rsidP="004953A3">
          <w:pPr>
            <w:pStyle w:val="Footer"/>
            <w:jc w:val="right"/>
          </w:pPr>
          <w:r>
            <w:t>Introduction</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C33AAA">
          <w:pPr>
            <w:pStyle w:val="Footer"/>
            <w:jc w:val="right"/>
          </w:pPr>
        </w:p>
      </w:tc>
    </w:tr>
  </w:tbl>
  <w:p w:rsidR="00DE64CF" w:rsidRDefault="00DE64C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8758FA">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24</w:t>
          </w:r>
          <w:r>
            <w:rPr>
              <w:noProof/>
            </w:rPr>
            <w:fldChar w:fldCharType="end"/>
          </w:r>
        </w:p>
      </w:tc>
      <w:tc>
        <w:tcPr>
          <w:tcW w:w="4320" w:type="dxa"/>
          <w:vAlign w:val="center"/>
        </w:tcPr>
        <w:p w:rsidR="00DE64CF" w:rsidRDefault="00DE64CF" w:rsidP="004953A3">
          <w:pPr>
            <w:pStyle w:val="Footer"/>
            <w:jc w:val="right"/>
          </w:pPr>
          <w:r>
            <w:t>Core Services</w:t>
          </w:r>
        </w:p>
      </w:tc>
    </w:tr>
    <w:tr w:rsidR="00DE64CF" w:rsidTr="008758FA">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vAlign w:val="center"/>
        </w:tcPr>
        <w:p w:rsidR="00DE64CF" w:rsidRDefault="00DE64CF" w:rsidP="00C33AAA">
          <w:pPr>
            <w:pStyle w:val="Footer"/>
            <w:jc w:val="right"/>
          </w:pPr>
        </w:p>
      </w:tc>
    </w:tr>
  </w:tbl>
  <w:p w:rsidR="00DE64CF" w:rsidRDefault="00DE64C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22"/>
      <w:gridCol w:w="4518"/>
    </w:tblGrid>
    <w:tr w:rsidR="00DE64CF" w:rsidTr="008758FA">
      <w:tc>
        <w:tcPr>
          <w:tcW w:w="4518" w:type="dxa"/>
        </w:tcPr>
        <w:p w:rsidR="00DE64CF" w:rsidRDefault="00DE64CF" w:rsidP="00C33AAA">
          <w:pPr>
            <w:pStyle w:val="Footer"/>
          </w:pPr>
          <w:r>
            <w:t>Orlando EMA HIV Health Services</w:t>
          </w:r>
        </w:p>
      </w:tc>
      <w:tc>
        <w:tcPr>
          <w:tcW w:w="522"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32</w:t>
          </w:r>
          <w:r>
            <w:rPr>
              <w:noProof/>
            </w:rPr>
            <w:fldChar w:fldCharType="end"/>
          </w:r>
        </w:p>
      </w:tc>
      <w:tc>
        <w:tcPr>
          <w:tcW w:w="4518" w:type="dxa"/>
          <w:vAlign w:val="center"/>
        </w:tcPr>
        <w:p w:rsidR="00DE64CF" w:rsidRDefault="00456EA7" w:rsidP="00E37557">
          <w:pPr>
            <w:pStyle w:val="Footer"/>
            <w:jc w:val="right"/>
          </w:pPr>
          <w:r>
            <w:t>OAHS</w:t>
          </w:r>
        </w:p>
      </w:tc>
    </w:tr>
    <w:tr w:rsidR="00DE64CF" w:rsidTr="008758FA">
      <w:tc>
        <w:tcPr>
          <w:tcW w:w="4518" w:type="dxa"/>
        </w:tcPr>
        <w:p w:rsidR="00DE64CF" w:rsidRDefault="00DE64CF" w:rsidP="00C33AAA">
          <w:pPr>
            <w:pStyle w:val="Footer"/>
          </w:pPr>
          <w:r>
            <w:t>Standards of Care</w:t>
          </w:r>
        </w:p>
      </w:tc>
      <w:tc>
        <w:tcPr>
          <w:tcW w:w="522" w:type="dxa"/>
          <w:vMerge/>
        </w:tcPr>
        <w:p w:rsidR="00DE64CF" w:rsidRDefault="00DE64CF" w:rsidP="00C33AAA">
          <w:pPr>
            <w:pStyle w:val="Footer"/>
          </w:pPr>
        </w:p>
      </w:tc>
      <w:tc>
        <w:tcPr>
          <w:tcW w:w="4518" w:type="dxa"/>
          <w:vAlign w:val="center"/>
        </w:tcPr>
        <w:p w:rsidR="00DE64CF" w:rsidRDefault="00DE64CF" w:rsidP="005F3069">
          <w:pPr>
            <w:pStyle w:val="Footer"/>
            <w:jc w:val="right"/>
          </w:pPr>
          <w:r w:rsidRPr="00B26D67">
            <w:t>Approved April 26, 2017</w:t>
          </w:r>
        </w:p>
      </w:tc>
    </w:tr>
  </w:tbl>
  <w:p w:rsidR="00DE64CF" w:rsidRDefault="00DE64C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DE64CF" w:rsidTr="004953A3">
      <w:tc>
        <w:tcPr>
          <w:tcW w:w="4320" w:type="dxa"/>
        </w:tcPr>
        <w:p w:rsidR="00DE64CF" w:rsidRDefault="00DE64CF">
          <w:pPr>
            <w:pStyle w:val="Footer"/>
          </w:pPr>
          <w:r>
            <w:t>Orlando EMA HIV Health Services</w:t>
          </w:r>
        </w:p>
      </w:tc>
      <w:tc>
        <w:tcPr>
          <w:tcW w:w="720" w:type="dxa"/>
          <w:vMerge w:val="restart"/>
          <w:vAlign w:val="center"/>
        </w:tcPr>
        <w:p w:rsidR="00DE64CF" w:rsidRDefault="00DE64CF" w:rsidP="00C33AAA">
          <w:pPr>
            <w:pStyle w:val="Footer"/>
            <w:jc w:val="center"/>
          </w:pPr>
          <w:r>
            <w:fldChar w:fldCharType="begin"/>
          </w:r>
          <w:r>
            <w:instrText xml:space="preserve"> PAGE   \* MERGEFORMAT </w:instrText>
          </w:r>
          <w:r>
            <w:fldChar w:fldCharType="separate"/>
          </w:r>
          <w:r w:rsidR="00467D3C">
            <w:rPr>
              <w:noProof/>
            </w:rPr>
            <w:t>25</w:t>
          </w:r>
          <w:r>
            <w:rPr>
              <w:noProof/>
            </w:rPr>
            <w:fldChar w:fldCharType="end"/>
          </w:r>
        </w:p>
      </w:tc>
      <w:tc>
        <w:tcPr>
          <w:tcW w:w="4320" w:type="dxa"/>
        </w:tcPr>
        <w:p w:rsidR="00DE64CF" w:rsidRPr="00E20DC8" w:rsidRDefault="00456EA7" w:rsidP="00456EA7">
          <w:pPr>
            <w:jc w:val="right"/>
          </w:pPr>
          <w:r>
            <w:t>OAHS</w:t>
          </w:r>
        </w:p>
      </w:tc>
    </w:tr>
    <w:tr w:rsidR="00DE64CF" w:rsidTr="004953A3">
      <w:tc>
        <w:tcPr>
          <w:tcW w:w="4320" w:type="dxa"/>
        </w:tcPr>
        <w:p w:rsidR="00DE64CF" w:rsidRDefault="00DE64CF">
          <w:pPr>
            <w:pStyle w:val="Footer"/>
          </w:pPr>
          <w:r>
            <w:t>Standards of Care</w:t>
          </w:r>
        </w:p>
      </w:tc>
      <w:tc>
        <w:tcPr>
          <w:tcW w:w="720" w:type="dxa"/>
          <w:vMerge/>
        </w:tcPr>
        <w:p w:rsidR="00DE64CF" w:rsidRDefault="00DE64CF">
          <w:pPr>
            <w:pStyle w:val="Footer"/>
          </w:pPr>
        </w:p>
      </w:tc>
      <w:tc>
        <w:tcPr>
          <w:tcW w:w="4320" w:type="dxa"/>
        </w:tcPr>
        <w:p w:rsidR="00DE64CF" w:rsidRDefault="00DE64CF" w:rsidP="00DE64CF">
          <w:pPr>
            <w:jc w:val="right"/>
          </w:pPr>
          <w:r w:rsidRPr="00E20DC8">
            <w:t>Approved July 26th, 2017</w:t>
          </w:r>
        </w:p>
      </w:tc>
    </w:tr>
  </w:tbl>
  <w:p w:rsidR="00DE64CF" w:rsidRDefault="00DE6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94" w:rsidRDefault="00E52294" w:rsidP="002A238E">
      <w:pPr>
        <w:spacing w:after="0" w:line="240" w:lineRule="auto"/>
      </w:pPr>
      <w:r>
        <w:separator/>
      </w:r>
    </w:p>
  </w:footnote>
  <w:footnote w:type="continuationSeparator" w:id="0">
    <w:p w:rsidR="00E52294" w:rsidRDefault="00E52294" w:rsidP="002A238E">
      <w:pPr>
        <w:spacing w:after="0" w:line="240" w:lineRule="auto"/>
      </w:pPr>
      <w:r>
        <w:continuationSeparator/>
      </w:r>
    </w:p>
  </w:footnote>
  <w:footnote w:id="1">
    <w:p w:rsidR="00DE64CF" w:rsidRPr="00626370" w:rsidRDefault="00DE64CF" w:rsidP="006263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CF" w:rsidRDefault="00DE6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42"/>
    <w:multiLevelType w:val="hybridMultilevel"/>
    <w:tmpl w:val="176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320"/>
    <w:multiLevelType w:val="hybridMultilevel"/>
    <w:tmpl w:val="E74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54C55"/>
    <w:multiLevelType w:val="hybridMultilevel"/>
    <w:tmpl w:val="4B1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93F72"/>
    <w:multiLevelType w:val="hybridMultilevel"/>
    <w:tmpl w:val="548A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44309"/>
    <w:multiLevelType w:val="hybridMultilevel"/>
    <w:tmpl w:val="FC2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369E5"/>
    <w:multiLevelType w:val="hybridMultilevel"/>
    <w:tmpl w:val="7050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610D7"/>
    <w:multiLevelType w:val="hybridMultilevel"/>
    <w:tmpl w:val="7B0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A1721"/>
    <w:multiLevelType w:val="hybridMultilevel"/>
    <w:tmpl w:val="A854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94238"/>
    <w:multiLevelType w:val="hybridMultilevel"/>
    <w:tmpl w:val="66A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E3241"/>
    <w:multiLevelType w:val="hybridMultilevel"/>
    <w:tmpl w:val="46A20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533B79"/>
    <w:multiLevelType w:val="hybridMultilevel"/>
    <w:tmpl w:val="9F9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D1155"/>
    <w:multiLevelType w:val="hybridMultilevel"/>
    <w:tmpl w:val="46FC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C431E5"/>
    <w:multiLevelType w:val="hybridMultilevel"/>
    <w:tmpl w:val="C3F2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E1326"/>
    <w:multiLevelType w:val="hybridMultilevel"/>
    <w:tmpl w:val="BAD4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7B2368"/>
    <w:multiLevelType w:val="hybridMultilevel"/>
    <w:tmpl w:val="F7D6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EA3856"/>
    <w:multiLevelType w:val="hybridMultilevel"/>
    <w:tmpl w:val="060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B90259"/>
    <w:multiLevelType w:val="hybridMultilevel"/>
    <w:tmpl w:val="91B6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E80A23"/>
    <w:multiLevelType w:val="hybridMultilevel"/>
    <w:tmpl w:val="0384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B444A8"/>
    <w:multiLevelType w:val="hybridMultilevel"/>
    <w:tmpl w:val="2B1A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001961"/>
    <w:multiLevelType w:val="hybridMultilevel"/>
    <w:tmpl w:val="CCE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D46524"/>
    <w:multiLevelType w:val="hybridMultilevel"/>
    <w:tmpl w:val="BFA8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565C92"/>
    <w:multiLevelType w:val="hybridMultilevel"/>
    <w:tmpl w:val="390022D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19730F5B"/>
    <w:multiLevelType w:val="hybridMultilevel"/>
    <w:tmpl w:val="8A8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E04E15"/>
    <w:multiLevelType w:val="hybridMultilevel"/>
    <w:tmpl w:val="8A0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EA5BFB"/>
    <w:multiLevelType w:val="hybridMultilevel"/>
    <w:tmpl w:val="0CD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F7616C"/>
    <w:multiLevelType w:val="hybridMultilevel"/>
    <w:tmpl w:val="8FCE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B01620"/>
    <w:multiLevelType w:val="hybridMultilevel"/>
    <w:tmpl w:val="18A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DD237A"/>
    <w:multiLevelType w:val="hybridMultilevel"/>
    <w:tmpl w:val="4AB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5C0456"/>
    <w:multiLevelType w:val="hybridMultilevel"/>
    <w:tmpl w:val="0F72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073B16"/>
    <w:multiLevelType w:val="hybridMultilevel"/>
    <w:tmpl w:val="1A6A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D213E1"/>
    <w:multiLevelType w:val="hybridMultilevel"/>
    <w:tmpl w:val="B9B8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750E4C"/>
    <w:multiLevelType w:val="hybridMultilevel"/>
    <w:tmpl w:val="683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CE49C3"/>
    <w:multiLevelType w:val="hybridMultilevel"/>
    <w:tmpl w:val="ED4E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324E01"/>
    <w:multiLevelType w:val="hybridMultilevel"/>
    <w:tmpl w:val="8E4A0E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874CC3"/>
    <w:multiLevelType w:val="hybridMultilevel"/>
    <w:tmpl w:val="4E70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964BA3"/>
    <w:multiLevelType w:val="hybridMultilevel"/>
    <w:tmpl w:val="EB78E01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6">
    <w:nsid w:val="252712ED"/>
    <w:multiLevelType w:val="hybridMultilevel"/>
    <w:tmpl w:val="88C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5445F6"/>
    <w:multiLevelType w:val="hybridMultilevel"/>
    <w:tmpl w:val="5EA4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CA5DC4"/>
    <w:multiLevelType w:val="hybridMultilevel"/>
    <w:tmpl w:val="CFBC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217B02"/>
    <w:multiLevelType w:val="hybridMultilevel"/>
    <w:tmpl w:val="BA9C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D429CA"/>
    <w:multiLevelType w:val="hybridMultilevel"/>
    <w:tmpl w:val="A6244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8644F59"/>
    <w:multiLevelType w:val="hybridMultilevel"/>
    <w:tmpl w:val="BE8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E64470"/>
    <w:multiLevelType w:val="hybridMultilevel"/>
    <w:tmpl w:val="A1ACE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9AC6905"/>
    <w:multiLevelType w:val="hybridMultilevel"/>
    <w:tmpl w:val="81B4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AEE1B9D"/>
    <w:multiLevelType w:val="hybridMultilevel"/>
    <w:tmpl w:val="460CC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B5D4DE4"/>
    <w:multiLevelType w:val="hybridMultilevel"/>
    <w:tmpl w:val="F0E04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B7D1B38"/>
    <w:multiLevelType w:val="hybridMultilevel"/>
    <w:tmpl w:val="E4B45BA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7">
    <w:nsid w:val="2CAC7B05"/>
    <w:multiLevelType w:val="hybridMultilevel"/>
    <w:tmpl w:val="7EB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A45FBD"/>
    <w:multiLevelType w:val="hybridMultilevel"/>
    <w:tmpl w:val="5DCE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F30BFB"/>
    <w:multiLevelType w:val="hybridMultilevel"/>
    <w:tmpl w:val="81D8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294521"/>
    <w:multiLevelType w:val="hybridMultilevel"/>
    <w:tmpl w:val="7104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8B764F"/>
    <w:multiLevelType w:val="hybridMultilevel"/>
    <w:tmpl w:val="0934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4DD363D"/>
    <w:multiLevelType w:val="hybridMultilevel"/>
    <w:tmpl w:val="E9B2D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63A7F61"/>
    <w:multiLevelType w:val="hybridMultilevel"/>
    <w:tmpl w:val="0F7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7E40B6"/>
    <w:multiLevelType w:val="hybridMultilevel"/>
    <w:tmpl w:val="AE9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6DF5722"/>
    <w:multiLevelType w:val="hybridMultilevel"/>
    <w:tmpl w:val="1C6A8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8ED235F"/>
    <w:multiLevelType w:val="hybridMultilevel"/>
    <w:tmpl w:val="643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93903AC"/>
    <w:multiLevelType w:val="hybridMultilevel"/>
    <w:tmpl w:val="FD8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EC6542"/>
    <w:multiLevelType w:val="hybridMultilevel"/>
    <w:tmpl w:val="DE98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210856"/>
    <w:multiLevelType w:val="hybridMultilevel"/>
    <w:tmpl w:val="0262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C4552FD"/>
    <w:multiLevelType w:val="hybridMultilevel"/>
    <w:tmpl w:val="F436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6B0495"/>
    <w:multiLevelType w:val="hybridMultilevel"/>
    <w:tmpl w:val="4B28B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CBF2FF4"/>
    <w:multiLevelType w:val="hybridMultilevel"/>
    <w:tmpl w:val="736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D1E596B"/>
    <w:multiLevelType w:val="hybridMultilevel"/>
    <w:tmpl w:val="7F52EEB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C277A6"/>
    <w:multiLevelType w:val="hybridMultilevel"/>
    <w:tmpl w:val="C5DC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E8366E2"/>
    <w:multiLevelType w:val="hybridMultilevel"/>
    <w:tmpl w:val="906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EE767E0"/>
    <w:multiLevelType w:val="hybridMultilevel"/>
    <w:tmpl w:val="A63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0B51A41"/>
    <w:multiLevelType w:val="hybridMultilevel"/>
    <w:tmpl w:val="A99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3375ED2"/>
    <w:multiLevelType w:val="hybridMultilevel"/>
    <w:tmpl w:val="D46A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3F25F5F"/>
    <w:multiLevelType w:val="hybridMultilevel"/>
    <w:tmpl w:val="9E9651AC"/>
    <w:lvl w:ilvl="0" w:tplc="0409000F">
      <w:start w:val="1"/>
      <w:numFmt w:val="decimal"/>
      <w:lvlText w:val="%1."/>
      <w:lvlJc w:val="left"/>
      <w:pPr>
        <w:ind w:left="1440" w:hanging="360"/>
      </w:pPr>
    </w:lvl>
    <w:lvl w:ilvl="1" w:tplc="2A7E7CE4">
      <w:start w:val="1"/>
      <w:numFmt w:val="decimal"/>
      <w:lvlText w:val="(%2)"/>
      <w:lvlJc w:val="left"/>
      <w:pPr>
        <w:ind w:left="2265" w:hanging="46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63D48D6"/>
    <w:multiLevelType w:val="hybridMultilevel"/>
    <w:tmpl w:val="DEB0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AA27C9"/>
    <w:multiLevelType w:val="hybridMultilevel"/>
    <w:tmpl w:val="E374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7694389"/>
    <w:multiLevelType w:val="hybridMultilevel"/>
    <w:tmpl w:val="632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257247"/>
    <w:multiLevelType w:val="hybridMultilevel"/>
    <w:tmpl w:val="A474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9370C18"/>
    <w:multiLevelType w:val="hybridMultilevel"/>
    <w:tmpl w:val="2EB4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9A46306"/>
    <w:multiLevelType w:val="hybridMultilevel"/>
    <w:tmpl w:val="4C0CEF1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6">
    <w:nsid w:val="4A7113A7"/>
    <w:multiLevelType w:val="hybridMultilevel"/>
    <w:tmpl w:val="34A6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847E4C"/>
    <w:multiLevelType w:val="hybridMultilevel"/>
    <w:tmpl w:val="13DC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C76DA2"/>
    <w:multiLevelType w:val="hybridMultilevel"/>
    <w:tmpl w:val="4E0C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BF544A6"/>
    <w:multiLevelType w:val="hybridMultilevel"/>
    <w:tmpl w:val="8BA0E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E4162F2"/>
    <w:multiLevelType w:val="hybridMultilevel"/>
    <w:tmpl w:val="5024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E815E80"/>
    <w:multiLevelType w:val="hybridMultilevel"/>
    <w:tmpl w:val="563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9566F1"/>
    <w:multiLevelType w:val="hybridMultilevel"/>
    <w:tmpl w:val="D07C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4EB7FBD"/>
    <w:multiLevelType w:val="hybridMultilevel"/>
    <w:tmpl w:val="B726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5461C6B"/>
    <w:multiLevelType w:val="hybridMultilevel"/>
    <w:tmpl w:val="FB0E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9A44F8"/>
    <w:multiLevelType w:val="hybridMultilevel"/>
    <w:tmpl w:val="3A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FE3921"/>
    <w:multiLevelType w:val="hybridMultilevel"/>
    <w:tmpl w:val="D51C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B0D424E"/>
    <w:multiLevelType w:val="hybridMultilevel"/>
    <w:tmpl w:val="CC04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B2564F6"/>
    <w:multiLevelType w:val="hybridMultilevel"/>
    <w:tmpl w:val="E21CD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C601AAF"/>
    <w:multiLevelType w:val="hybridMultilevel"/>
    <w:tmpl w:val="7B6C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17055E"/>
    <w:multiLevelType w:val="hybridMultilevel"/>
    <w:tmpl w:val="0A6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FCF57F6"/>
    <w:multiLevelType w:val="hybridMultilevel"/>
    <w:tmpl w:val="7BEE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04806AE"/>
    <w:multiLevelType w:val="hybridMultilevel"/>
    <w:tmpl w:val="C29A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10B1B3F"/>
    <w:multiLevelType w:val="hybridMultilevel"/>
    <w:tmpl w:val="0DD62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1BE6EDA"/>
    <w:multiLevelType w:val="hybridMultilevel"/>
    <w:tmpl w:val="FA50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1F65B13"/>
    <w:multiLevelType w:val="hybridMultilevel"/>
    <w:tmpl w:val="664AB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20E0E5F"/>
    <w:multiLevelType w:val="hybridMultilevel"/>
    <w:tmpl w:val="129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21A3DF7"/>
    <w:multiLevelType w:val="hybridMultilevel"/>
    <w:tmpl w:val="D63C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2466D6B"/>
    <w:multiLevelType w:val="hybridMultilevel"/>
    <w:tmpl w:val="CED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8A7B17"/>
    <w:multiLevelType w:val="hybridMultilevel"/>
    <w:tmpl w:val="D20E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52037EE"/>
    <w:multiLevelType w:val="hybridMultilevel"/>
    <w:tmpl w:val="B8BE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65B0698"/>
    <w:multiLevelType w:val="hybridMultilevel"/>
    <w:tmpl w:val="2724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6F20D79"/>
    <w:multiLevelType w:val="hybridMultilevel"/>
    <w:tmpl w:val="12A0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8943B11"/>
    <w:multiLevelType w:val="hybridMultilevel"/>
    <w:tmpl w:val="5B6A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8A72C78"/>
    <w:multiLevelType w:val="hybridMultilevel"/>
    <w:tmpl w:val="6828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6A45367B"/>
    <w:multiLevelType w:val="hybridMultilevel"/>
    <w:tmpl w:val="BB8449EC"/>
    <w:lvl w:ilvl="0" w:tplc="04090001">
      <w:start w:val="1"/>
      <w:numFmt w:val="bullet"/>
      <w:lvlText w:val=""/>
      <w:lvlJc w:val="left"/>
      <w:pPr>
        <w:ind w:left="720" w:hanging="360"/>
      </w:pPr>
      <w:rPr>
        <w:rFonts w:ascii="Symbol" w:hAnsi="Symbol" w:hint="default"/>
      </w:rPr>
    </w:lvl>
    <w:lvl w:ilvl="1" w:tplc="43DEF73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A4D5404"/>
    <w:multiLevelType w:val="hybridMultilevel"/>
    <w:tmpl w:val="C8D2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DA477D4"/>
    <w:multiLevelType w:val="hybridMultilevel"/>
    <w:tmpl w:val="890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EAF0CE8"/>
    <w:multiLevelType w:val="hybridMultilevel"/>
    <w:tmpl w:val="98E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ED6589D"/>
    <w:multiLevelType w:val="hybridMultilevel"/>
    <w:tmpl w:val="7572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FA96D8C"/>
    <w:multiLevelType w:val="hybridMultilevel"/>
    <w:tmpl w:val="13D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04B34B4"/>
    <w:multiLevelType w:val="hybridMultilevel"/>
    <w:tmpl w:val="3D7AD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11F035B"/>
    <w:multiLevelType w:val="hybridMultilevel"/>
    <w:tmpl w:val="E026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1436042"/>
    <w:multiLevelType w:val="hybridMultilevel"/>
    <w:tmpl w:val="26D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226730E"/>
    <w:multiLevelType w:val="hybridMultilevel"/>
    <w:tmpl w:val="80D84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5">
    <w:nsid w:val="726F6B2C"/>
    <w:multiLevelType w:val="hybridMultilevel"/>
    <w:tmpl w:val="9D16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2BE20F5"/>
    <w:multiLevelType w:val="hybridMultilevel"/>
    <w:tmpl w:val="9E9651AC"/>
    <w:lvl w:ilvl="0" w:tplc="0409000F">
      <w:start w:val="1"/>
      <w:numFmt w:val="decimal"/>
      <w:lvlText w:val="%1."/>
      <w:lvlJc w:val="left"/>
      <w:pPr>
        <w:ind w:left="1440" w:hanging="360"/>
      </w:pPr>
    </w:lvl>
    <w:lvl w:ilvl="1" w:tplc="2A7E7CE4">
      <w:start w:val="1"/>
      <w:numFmt w:val="decimal"/>
      <w:lvlText w:val="(%2)"/>
      <w:lvlJc w:val="left"/>
      <w:pPr>
        <w:ind w:left="2265" w:hanging="46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76881902"/>
    <w:multiLevelType w:val="hybridMultilevel"/>
    <w:tmpl w:val="53F8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7565D99"/>
    <w:multiLevelType w:val="hybridMultilevel"/>
    <w:tmpl w:val="F8E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8B460F4"/>
    <w:multiLevelType w:val="hybridMultilevel"/>
    <w:tmpl w:val="694E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90518DD"/>
    <w:multiLevelType w:val="hybridMultilevel"/>
    <w:tmpl w:val="FA6C8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9BF5BE5"/>
    <w:multiLevelType w:val="hybridMultilevel"/>
    <w:tmpl w:val="6A7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9DC4E32"/>
    <w:multiLevelType w:val="hybridMultilevel"/>
    <w:tmpl w:val="1938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B2D43D2"/>
    <w:multiLevelType w:val="hybridMultilevel"/>
    <w:tmpl w:val="D06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B566B40"/>
    <w:multiLevelType w:val="hybridMultilevel"/>
    <w:tmpl w:val="9E1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D464290"/>
    <w:multiLevelType w:val="hybridMultilevel"/>
    <w:tmpl w:val="96C0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2"/>
  </w:num>
  <w:num w:numId="3">
    <w:abstractNumId w:val="51"/>
  </w:num>
  <w:num w:numId="4">
    <w:abstractNumId w:val="111"/>
  </w:num>
  <w:num w:numId="5">
    <w:abstractNumId w:val="93"/>
  </w:num>
  <w:num w:numId="6">
    <w:abstractNumId w:val="99"/>
  </w:num>
  <w:num w:numId="7">
    <w:abstractNumId w:val="104"/>
  </w:num>
  <w:num w:numId="8">
    <w:abstractNumId w:val="79"/>
  </w:num>
  <w:num w:numId="9">
    <w:abstractNumId w:val="45"/>
  </w:num>
  <w:num w:numId="10">
    <w:abstractNumId w:val="55"/>
  </w:num>
  <w:num w:numId="11">
    <w:abstractNumId w:val="95"/>
  </w:num>
  <w:num w:numId="12">
    <w:abstractNumId w:val="42"/>
  </w:num>
  <w:num w:numId="13">
    <w:abstractNumId w:val="40"/>
  </w:num>
  <w:num w:numId="14">
    <w:abstractNumId w:val="71"/>
  </w:num>
  <w:num w:numId="15">
    <w:abstractNumId w:val="120"/>
  </w:num>
  <w:num w:numId="16">
    <w:abstractNumId w:val="24"/>
  </w:num>
  <w:num w:numId="17">
    <w:abstractNumId w:val="33"/>
  </w:num>
  <w:num w:numId="18">
    <w:abstractNumId w:val="100"/>
  </w:num>
  <w:num w:numId="19">
    <w:abstractNumId w:val="113"/>
  </w:num>
  <w:num w:numId="20">
    <w:abstractNumId w:val="105"/>
  </w:num>
  <w:num w:numId="21">
    <w:abstractNumId w:val="19"/>
  </w:num>
  <w:num w:numId="22">
    <w:abstractNumId w:val="56"/>
  </w:num>
  <w:num w:numId="23">
    <w:abstractNumId w:val="6"/>
  </w:num>
  <w:num w:numId="24">
    <w:abstractNumId w:val="123"/>
  </w:num>
  <w:num w:numId="25">
    <w:abstractNumId w:val="116"/>
  </w:num>
  <w:num w:numId="26">
    <w:abstractNumId w:val="7"/>
  </w:num>
  <w:num w:numId="27">
    <w:abstractNumId w:val="47"/>
  </w:num>
  <w:num w:numId="28">
    <w:abstractNumId w:val="44"/>
  </w:num>
  <w:num w:numId="29">
    <w:abstractNumId w:val="75"/>
  </w:num>
  <w:num w:numId="30">
    <w:abstractNumId w:val="78"/>
  </w:num>
  <w:num w:numId="31">
    <w:abstractNumId w:val="13"/>
  </w:num>
  <w:num w:numId="32">
    <w:abstractNumId w:val="39"/>
  </w:num>
  <w:num w:numId="33">
    <w:abstractNumId w:val="21"/>
  </w:num>
  <w:num w:numId="34">
    <w:abstractNumId w:val="35"/>
  </w:num>
  <w:num w:numId="35">
    <w:abstractNumId w:val="5"/>
  </w:num>
  <w:num w:numId="36">
    <w:abstractNumId w:val="102"/>
  </w:num>
  <w:num w:numId="37">
    <w:abstractNumId w:val="27"/>
  </w:num>
  <w:num w:numId="38">
    <w:abstractNumId w:val="31"/>
  </w:num>
  <w:num w:numId="39">
    <w:abstractNumId w:val="119"/>
  </w:num>
  <w:num w:numId="40">
    <w:abstractNumId w:val="22"/>
  </w:num>
  <w:num w:numId="41">
    <w:abstractNumId w:val="96"/>
  </w:num>
  <w:num w:numId="42">
    <w:abstractNumId w:val="82"/>
  </w:num>
  <w:num w:numId="43">
    <w:abstractNumId w:val="121"/>
  </w:num>
  <w:num w:numId="44">
    <w:abstractNumId w:val="14"/>
  </w:num>
  <w:num w:numId="45">
    <w:abstractNumId w:val="107"/>
  </w:num>
  <w:num w:numId="46">
    <w:abstractNumId w:val="108"/>
  </w:num>
  <w:num w:numId="47">
    <w:abstractNumId w:val="90"/>
  </w:num>
  <w:num w:numId="48">
    <w:abstractNumId w:val="73"/>
  </w:num>
  <w:num w:numId="49">
    <w:abstractNumId w:val="53"/>
  </w:num>
  <w:num w:numId="50">
    <w:abstractNumId w:val="122"/>
  </w:num>
  <w:num w:numId="51">
    <w:abstractNumId w:val="18"/>
  </w:num>
  <w:num w:numId="52">
    <w:abstractNumId w:val="11"/>
  </w:num>
  <w:num w:numId="53">
    <w:abstractNumId w:val="15"/>
  </w:num>
  <w:num w:numId="54">
    <w:abstractNumId w:val="114"/>
  </w:num>
  <w:num w:numId="55">
    <w:abstractNumId w:val="26"/>
  </w:num>
  <w:num w:numId="56">
    <w:abstractNumId w:val="49"/>
  </w:num>
  <w:num w:numId="57">
    <w:abstractNumId w:val="94"/>
  </w:num>
  <w:num w:numId="58">
    <w:abstractNumId w:val="36"/>
  </w:num>
  <w:num w:numId="59">
    <w:abstractNumId w:val="57"/>
  </w:num>
  <w:num w:numId="60">
    <w:abstractNumId w:val="54"/>
  </w:num>
  <w:num w:numId="61">
    <w:abstractNumId w:val="0"/>
  </w:num>
  <w:num w:numId="62">
    <w:abstractNumId w:val="106"/>
  </w:num>
  <w:num w:numId="63">
    <w:abstractNumId w:val="109"/>
  </w:num>
  <w:num w:numId="64">
    <w:abstractNumId w:val="43"/>
  </w:num>
  <w:num w:numId="65">
    <w:abstractNumId w:val="89"/>
  </w:num>
  <w:num w:numId="66">
    <w:abstractNumId w:val="70"/>
  </w:num>
  <w:num w:numId="67">
    <w:abstractNumId w:val="124"/>
  </w:num>
  <w:num w:numId="68">
    <w:abstractNumId w:val="8"/>
  </w:num>
  <w:num w:numId="69">
    <w:abstractNumId w:val="34"/>
  </w:num>
  <w:num w:numId="70">
    <w:abstractNumId w:val="80"/>
  </w:num>
  <w:num w:numId="71">
    <w:abstractNumId w:val="63"/>
  </w:num>
  <w:num w:numId="72">
    <w:abstractNumId w:val="37"/>
  </w:num>
  <w:num w:numId="73">
    <w:abstractNumId w:val="12"/>
  </w:num>
  <w:num w:numId="74">
    <w:abstractNumId w:val="30"/>
  </w:num>
  <w:num w:numId="75">
    <w:abstractNumId w:val="72"/>
  </w:num>
  <w:num w:numId="76">
    <w:abstractNumId w:val="67"/>
  </w:num>
  <w:num w:numId="77">
    <w:abstractNumId w:val="20"/>
  </w:num>
  <w:num w:numId="78">
    <w:abstractNumId w:val="3"/>
  </w:num>
  <w:num w:numId="79">
    <w:abstractNumId w:val="110"/>
  </w:num>
  <w:num w:numId="80">
    <w:abstractNumId w:val="101"/>
  </w:num>
  <w:num w:numId="81">
    <w:abstractNumId w:val="103"/>
  </w:num>
  <w:num w:numId="82">
    <w:abstractNumId w:val="23"/>
  </w:num>
  <w:num w:numId="83">
    <w:abstractNumId w:val="74"/>
  </w:num>
  <w:num w:numId="84">
    <w:abstractNumId w:val="62"/>
  </w:num>
  <w:num w:numId="85">
    <w:abstractNumId w:val="81"/>
  </w:num>
  <w:num w:numId="86">
    <w:abstractNumId w:val="2"/>
  </w:num>
  <w:num w:numId="87">
    <w:abstractNumId w:val="65"/>
  </w:num>
  <w:num w:numId="88">
    <w:abstractNumId w:val="85"/>
  </w:num>
  <w:num w:numId="89">
    <w:abstractNumId w:val="58"/>
  </w:num>
  <w:num w:numId="90">
    <w:abstractNumId w:val="112"/>
  </w:num>
  <w:num w:numId="91">
    <w:abstractNumId w:val="68"/>
  </w:num>
  <w:num w:numId="92">
    <w:abstractNumId w:val="98"/>
  </w:num>
  <w:num w:numId="93">
    <w:abstractNumId w:val="60"/>
  </w:num>
  <w:num w:numId="94">
    <w:abstractNumId w:val="4"/>
  </w:num>
  <w:num w:numId="95">
    <w:abstractNumId w:val="76"/>
  </w:num>
  <w:num w:numId="96">
    <w:abstractNumId w:val="118"/>
  </w:num>
  <w:num w:numId="97">
    <w:abstractNumId w:val="115"/>
  </w:num>
  <w:num w:numId="98">
    <w:abstractNumId w:val="29"/>
  </w:num>
  <w:num w:numId="99">
    <w:abstractNumId w:val="32"/>
  </w:num>
  <w:num w:numId="100">
    <w:abstractNumId w:val="66"/>
  </w:num>
  <w:num w:numId="101">
    <w:abstractNumId w:val="77"/>
  </w:num>
  <w:num w:numId="102">
    <w:abstractNumId w:val="25"/>
  </w:num>
  <w:num w:numId="103">
    <w:abstractNumId w:val="28"/>
  </w:num>
  <w:num w:numId="104">
    <w:abstractNumId w:val="64"/>
  </w:num>
  <w:num w:numId="105">
    <w:abstractNumId w:val="117"/>
  </w:num>
  <w:num w:numId="106">
    <w:abstractNumId w:val="125"/>
  </w:num>
  <w:num w:numId="107">
    <w:abstractNumId w:val="88"/>
  </w:num>
  <w:num w:numId="108">
    <w:abstractNumId w:val="69"/>
  </w:num>
  <w:num w:numId="109">
    <w:abstractNumId w:val="48"/>
  </w:num>
  <w:num w:numId="110">
    <w:abstractNumId w:val="61"/>
  </w:num>
  <w:num w:numId="111">
    <w:abstractNumId w:val="46"/>
  </w:num>
  <w:num w:numId="112">
    <w:abstractNumId w:val="86"/>
  </w:num>
  <w:num w:numId="113">
    <w:abstractNumId w:val="91"/>
  </w:num>
  <w:num w:numId="114">
    <w:abstractNumId w:val="92"/>
  </w:num>
  <w:num w:numId="115">
    <w:abstractNumId w:val="17"/>
  </w:num>
  <w:num w:numId="116">
    <w:abstractNumId w:val="50"/>
  </w:num>
  <w:num w:numId="117">
    <w:abstractNumId w:val="10"/>
  </w:num>
  <w:num w:numId="118">
    <w:abstractNumId w:val="97"/>
  </w:num>
  <w:num w:numId="119">
    <w:abstractNumId w:val="83"/>
  </w:num>
  <w:num w:numId="120">
    <w:abstractNumId w:val="38"/>
  </w:num>
  <w:num w:numId="121">
    <w:abstractNumId w:val="59"/>
  </w:num>
  <w:num w:numId="122">
    <w:abstractNumId w:val="41"/>
  </w:num>
  <w:num w:numId="123">
    <w:abstractNumId w:val="1"/>
  </w:num>
  <w:num w:numId="124">
    <w:abstractNumId w:val="87"/>
  </w:num>
  <w:num w:numId="125">
    <w:abstractNumId w:val="84"/>
  </w:num>
  <w:num w:numId="126">
    <w:abstractNumId w:val="1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73"/>
    <w:rsid w:val="000040A8"/>
    <w:rsid w:val="000349FF"/>
    <w:rsid w:val="00044011"/>
    <w:rsid w:val="00045E8E"/>
    <w:rsid w:val="000475C6"/>
    <w:rsid w:val="00055AAB"/>
    <w:rsid w:val="000653A6"/>
    <w:rsid w:val="00065FA7"/>
    <w:rsid w:val="00082D89"/>
    <w:rsid w:val="000859CB"/>
    <w:rsid w:val="000865BC"/>
    <w:rsid w:val="00087F6A"/>
    <w:rsid w:val="000B017A"/>
    <w:rsid w:val="000B08A6"/>
    <w:rsid w:val="000B1635"/>
    <w:rsid w:val="000B4DF0"/>
    <w:rsid w:val="000B4F24"/>
    <w:rsid w:val="000B5DEF"/>
    <w:rsid w:val="000C316D"/>
    <w:rsid w:val="000D1F19"/>
    <w:rsid w:val="000D269C"/>
    <w:rsid w:val="000D3A4C"/>
    <w:rsid w:val="000D60AF"/>
    <w:rsid w:val="000F4228"/>
    <w:rsid w:val="000F63D5"/>
    <w:rsid w:val="000F6983"/>
    <w:rsid w:val="00107749"/>
    <w:rsid w:val="00112007"/>
    <w:rsid w:val="001332B9"/>
    <w:rsid w:val="0015014B"/>
    <w:rsid w:val="00155517"/>
    <w:rsid w:val="0016057D"/>
    <w:rsid w:val="00165C96"/>
    <w:rsid w:val="00175D87"/>
    <w:rsid w:val="00176753"/>
    <w:rsid w:val="00193C23"/>
    <w:rsid w:val="001A0AD8"/>
    <w:rsid w:val="001B1B43"/>
    <w:rsid w:val="001B571E"/>
    <w:rsid w:val="001B74CB"/>
    <w:rsid w:val="001C3AF1"/>
    <w:rsid w:val="001C7402"/>
    <w:rsid w:val="001D3E45"/>
    <w:rsid w:val="001E0399"/>
    <w:rsid w:val="001E0F1E"/>
    <w:rsid w:val="001E469A"/>
    <w:rsid w:val="001F30B2"/>
    <w:rsid w:val="001F46E0"/>
    <w:rsid w:val="001F7C9B"/>
    <w:rsid w:val="0020223E"/>
    <w:rsid w:val="002032BD"/>
    <w:rsid w:val="002306E6"/>
    <w:rsid w:val="002328F5"/>
    <w:rsid w:val="00233E6D"/>
    <w:rsid w:val="00246355"/>
    <w:rsid w:val="0024777F"/>
    <w:rsid w:val="00252A82"/>
    <w:rsid w:val="00267373"/>
    <w:rsid w:val="00271346"/>
    <w:rsid w:val="002713BE"/>
    <w:rsid w:val="00271BEE"/>
    <w:rsid w:val="0028114A"/>
    <w:rsid w:val="00287221"/>
    <w:rsid w:val="002A0432"/>
    <w:rsid w:val="002A238E"/>
    <w:rsid w:val="002A30CF"/>
    <w:rsid w:val="002A6007"/>
    <w:rsid w:val="002C5805"/>
    <w:rsid w:val="002C610A"/>
    <w:rsid w:val="002C7C7F"/>
    <w:rsid w:val="002C7DEB"/>
    <w:rsid w:val="002D660C"/>
    <w:rsid w:val="00304877"/>
    <w:rsid w:val="00307739"/>
    <w:rsid w:val="003132F0"/>
    <w:rsid w:val="003211F4"/>
    <w:rsid w:val="00324928"/>
    <w:rsid w:val="0033517C"/>
    <w:rsid w:val="00337191"/>
    <w:rsid w:val="00337742"/>
    <w:rsid w:val="003463AF"/>
    <w:rsid w:val="0034720D"/>
    <w:rsid w:val="00386C11"/>
    <w:rsid w:val="003910BE"/>
    <w:rsid w:val="00393F9C"/>
    <w:rsid w:val="003A16B4"/>
    <w:rsid w:val="003A7DA4"/>
    <w:rsid w:val="003B3574"/>
    <w:rsid w:val="003B440A"/>
    <w:rsid w:val="003C0E1B"/>
    <w:rsid w:val="003C5A60"/>
    <w:rsid w:val="003D1307"/>
    <w:rsid w:val="003D44F2"/>
    <w:rsid w:val="003D4D05"/>
    <w:rsid w:val="003D6FF0"/>
    <w:rsid w:val="003F39EF"/>
    <w:rsid w:val="00401F4E"/>
    <w:rsid w:val="0040783D"/>
    <w:rsid w:val="00423B8F"/>
    <w:rsid w:val="004452F5"/>
    <w:rsid w:val="004510AC"/>
    <w:rsid w:val="00454CB6"/>
    <w:rsid w:val="00456EA7"/>
    <w:rsid w:val="00457B6E"/>
    <w:rsid w:val="004601D3"/>
    <w:rsid w:val="00467969"/>
    <w:rsid w:val="00467D3C"/>
    <w:rsid w:val="0047658D"/>
    <w:rsid w:val="0048193E"/>
    <w:rsid w:val="00482002"/>
    <w:rsid w:val="004906EA"/>
    <w:rsid w:val="004931E6"/>
    <w:rsid w:val="004953A3"/>
    <w:rsid w:val="00496D9B"/>
    <w:rsid w:val="004A2857"/>
    <w:rsid w:val="004A2A36"/>
    <w:rsid w:val="004C6558"/>
    <w:rsid w:val="004D0BCC"/>
    <w:rsid w:val="004E3F2F"/>
    <w:rsid w:val="004F2E12"/>
    <w:rsid w:val="0050583F"/>
    <w:rsid w:val="005067E6"/>
    <w:rsid w:val="00521A55"/>
    <w:rsid w:val="005266B8"/>
    <w:rsid w:val="0054661C"/>
    <w:rsid w:val="0056049F"/>
    <w:rsid w:val="00561593"/>
    <w:rsid w:val="00561F8E"/>
    <w:rsid w:val="005643F4"/>
    <w:rsid w:val="005742A6"/>
    <w:rsid w:val="00575030"/>
    <w:rsid w:val="00586B22"/>
    <w:rsid w:val="005A5EA9"/>
    <w:rsid w:val="005B02DD"/>
    <w:rsid w:val="005B5885"/>
    <w:rsid w:val="005C100E"/>
    <w:rsid w:val="005C48D9"/>
    <w:rsid w:val="005E32E9"/>
    <w:rsid w:val="005E5891"/>
    <w:rsid w:val="005E5FC3"/>
    <w:rsid w:val="005F3069"/>
    <w:rsid w:val="00601B2D"/>
    <w:rsid w:val="00607023"/>
    <w:rsid w:val="006213D1"/>
    <w:rsid w:val="00625360"/>
    <w:rsid w:val="00626370"/>
    <w:rsid w:val="00632604"/>
    <w:rsid w:val="00636B0D"/>
    <w:rsid w:val="006448F4"/>
    <w:rsid w:val="00646CD1"/>
    <w:rsid w:val="00656824"/>
    <w:rsid w:val="00661103"/>
    <w:rsid w:val="00663AEC"/>
    <w:rsid w:val="0066400C"/>
    <w:rsid w:val="0066404A"/>
    <w:rsid w:val="00664D63"/>
    <w:rsid w:val="00665E1E"/>
    <w:rsid w:val="00676BF2"/>
    <w:rsid w:val="00687972"/>
    <w:rsid w:val="0069155E"/>
    <w:rsid w:val="00695D44"/>
    <w:rsid w:val="006A2707"/>
    <w:rsid w:val="006A2E33"/>
    <w:rsid w:val="006B29BF"/>
    <w:rsid w:val="006B51AE"/>
    <w:rsid w:val="006B589A"/>
    <w:rsid w:val="006D33F2"/>
    <w:rsid w:val="006E7960"/>
    <w:rsid w:val="00701584"/>
    <w:rsid w:val="007262F8"/>
    <w:rsid w:val="00731868"/>
    <w:rsid w:val="0075038B"/>
    <w:rsid w:val="00751DC2"/>
    <w:rsid w:val="0076372E"/>
    <w:rsid w:val="007A5B0A"/>
    <w:rsid w:val="007A5BB7"/>
    <w:rsid w:val="007B141F"/>
    <w:rsid w:val="007B4017"/>
    <w:rsid w:val="007C0549"/>
    <w:rsid w:val="007C3380"/>
    <w:rsid w:val="007C4F82"/>
    <w:rsid w:val="007D0190"/>
    <w:rsid w:val="007D151E"/>
    <w:rsid w:val="007D2754"/>
    <w:rsid w:val="007D4104"/>
    <w:rsid w:val="007E02FB"/>
    <w:rsid w:val="007E0F09"/>
    <w:rsid w:val="007E12DA"/>
    <w:rsid w:val="007E4991"/>
    <w:rsid w:val="007F0C02"/>
    <w:rsid w:val="007F163D"/>
    <w:rsid w:val="007F2441"/>
    <w:rsid w:val="007F5E6A"/>
    <w:rsid w:val="00800F0D"/>
    <w:rsid w:val="008015E1"/>
    <w:rsid w:val="00803C9F"/>
    <w:rsid w:val="00804E99"/>
    <w:rsid w:val="00825582"/>
    <w:rsid w:val="00826465"/>
    <w:rsid w:val="00826E33"/>
    <w:rsid w:val="00826FDA"/>
    <w:rsid w:val="008321F8"/>
    <w:rsid w:val="008477C1"/>
    <w:rsid w:val="008579C9"/>
    <w:rsid w:val="0087495F"/>
    <w:rsid w:val="008758FA"/>
    <w:rsid w:val="00876AD1"/>
    <w:rsid w:val="00880B30"/>
    <w:rsid w:val="0088440D"/>
    <w:rsid w:val="008B5CD7"/>
    <w:rsid w:val="008D2ACF"/>
    <w:rsid w:val="008D3520"/>
    <w:rsid w:val="008D6BA9"/>
    <w:rsid w:val="008E7A53"/>
    <w:rsid w:val="008E7A5D"/>
    <w:rsid w:val="008F5309"/>
    <w:rsid w:val="00905679"/>
    <w:rsid w:val="00906C37"/>
    <w:rsid w:val="00912145"/>
    <w:rsid w:val="00913364"/>
    <w:rsid w:val="00914A01"/>
    <w:rsid w:val="00917580"/>
    <w:rsid w:val="0094058D"/>
    <w:rsid w:val="00957B51"/>
    <w:rsid w:val="00960D4B"/>
    <w:rsid w:val="009710C9"/>
    <w:rsid w:val="009724C7"/>
    <w:rsid w:val="0098501C"/>
    <w:rsid w:val="009B298A"/>
    <w:rsid w:val="009C0F7D"/>
    <w:rsid w:val="009D331D"/>
    <w:rsid w:val="00A008B7"/>
    <w:rsid w:val="00A01B1D"/>
    <w:rsid w:val="00A05A66"/>
    <w:rsid w:val="00A06ACE"/>
    <w:rsid w:val="00A07D98"/>
    <w:rsid w:val="00A15C81"/>
    <w:rsid w:val="00A262CB"/>
    <w:rsid w:val="00A33856"/>
    <w:rsid w:val="00A379D7"/>
    <w:rsid w:val="00A4181F"/>
    <w:rsid w:val="00A4657E"/>
    <w:rsid w:val="00A6276C"/>
    <w:rsid w:val="00A86D8B"/>
    <w:rsid w:val="00A921E5"/>
    <w:rsid w:val="00A973C4"/>
    <w:rsid w:val="00AA136F"/>
    <w:rsid w:val="00AA5F74"/>
    <w:rsid w:val="00AB12FA"/>
    <w:rsid w:val="00AB2E2E"/>
    <w:rsid w:val="00AC0614"/>
    <w:rsid w:val="00AC1266"/>
    <w:rsid w:val="00AC2A9D"/>
    <w:rsid w:val="00AC4BEF"/>
    <w:rsid w:val="00AE23AF"/>
    <w:rsid w:val="00AE6048"/>
    <w:rsid w:val="00B10147"/>
    <w:rsid w:val="00B11926"/>
    <w:rsid w:val="00B2488C"/>
    <w:rsid w:val="00B26D67"/>
    <w:rsid w:val="00B30500"/>
    <w:rsid w:val="00B32A01"/>
    <w:rsid w:val="00B349CF"/>
    <w:rsid w:val="00B41322"/>
    <w:rsid w:val="00B4243E"/>
    <w:rsid w:val="00B4515A"/>
    <w:rsid w:val="00B45367"/>
    <w:rsid w:val="00B61008"/>
    <w:rsid w:val="00B643CB"/>
    <w:rsid w:val="00B9122F"/>
    <w:rsid w:val="00B94584"/>
    <w:rsid w:val="00BA06FB"/>
    <w:rsid w:val="00BB238C"/>
    <w:rsid w:val="00BB2C01"/>
    <w:rsid w:val="00BB51DF"/>
    <w:rsid w:val="00BB7BC2"/>
    <w:rsid w:val="00BD2E15"/>
    <w:rsid w:val="00BD34E2"/>
    <w:rsid w:val="00BD5094"/>
    <w:rsid w:val="00BD5201"/>
    <w:rsid w:val="00BD5B35"/>
    <w:rsid w:val="00BD5E1A"/>
    <w:rsid w:val="00BD73B0"/>
    <w:rsid w:val="00BE4CB7"/>
    <w:rsid w:val="00BF0DCD"/>
    <w:rsid w:val="00BF740C"/>
    <w:rsid w:val="00C115A1"/>
    <w:rsid w:val="00C1248A"/>
    <w:rsid w:val="00C13060"/>
    <w:rsid w:val="00C217F9"/>
    <w:rsid w:val="00C239A1"/>
    <w:rsid w:val="00C27ED1"/>
    <w:rsid w:val="00C320B4"/>
    <w:rsid w:val="00C33AAA"/>
    <w:rsid w:val="00C44A46"/>
    <w:rsid w:val="00C469C0"/>
    <w:rsid w:val="00C47DFE"/>
    <w:rsid w:val="00C47F9A"/>
    <w:rsid w:val="00C64B59"/>
    <w:rsid w:val="00C675E3"/>
    <w:rsid w:val="00C74653"/>
    <w:rsid w:val="00C8016A"/>
    <w:rsid w:val="00C85F63"/>
    <w:rsid w:val="00C90BF6"/>
    <w:rsid w:val="00C97170"/>
    <w:rsid w:val="00CA1164"/>
    <w:rsid w:val="00CA6228"/>
    <w:rsid w:val="00CA6B7A"/>
    <w:rsid w:val="00CB0313"/>
    <w:rsid w:val="00CB19FA"/>
    <w:rsid w:val="00CD2894"/>
    <w:rsid w:val="00CF4791"/>
    <w:rsid w:val="00CF6308"/>
    <w:rsid w:val="00D0706E"/>
    <w:rsid w:val="00D173DA"/>
    <w:rsid w:val="00D359C4"/>
    <w:rsid w:val="00D47530"/>
    <w:rsid w:val="00D47C6A"/>
    <w:rsid w:val="00D513CF"/>
    <w:rsid w:val="00D7179F"/>
    <w:rsid w:val="00D91F68"/>
    <w:rsid w:val="00D97666"/>
    <w:rsid w:val="00DB0CB6"/>
    <w:rsid w:val="00DC6822"/>
    <w:rsid w:val="00DC7211"/>
    <w:rsid w:val="00DE4D08"/>
    <w:rsid w:val="00DE64CF"/>
    <w:rsid w:val="00DE7ABF"/>
    <w:rsid w:val="00DF6AF5"/>
    <w:rsid w:val="00E02E21"/>
    <w:rsid w:val="00E046F9"/>
    <w:rsid w:val="00E22D01"/>
    <w:rsid w:val="00E25965"/>
    <w:rsid w:val="00E34C8E"/>
    <w:rsid w:val="00E37557"/>
    <w:rsid w:val="00E52294"/>
    <w:rsid w:val="00E52B3A"/>
    <w:rsid w:val="00E74196"/>
    <w:rsid w:val="00E9577A"/>
    <w:rsid w:val="00EA03CF"/>
    <w:rsid w:val="00EC2BFC"/>
    <w:rsid w:val="00EC3448"/>
    <w:rsid w:val="00EE09D5"/>
    <w:rsid w:val="00EE525F"/>
    <w:rsid w:val="00EE7923"/>
    <w:rsid w:val="00EF24E6"/>
    <w:rsid w:val="00F027A7"/>
    <w:rsid w:val="00F070D5"/>
    <w:rsid w:val="00F14F6F"/>
    <w:rsid w:val="00F211FC"/>
    <w:rsid w:val="00F2304E"/>
    <w:rsid w:val="00F36ACF"/>
    <w:rsid w:val="00F36B8C"/>
    <w:rsid w:val="00F506B1"/>
    <w:rsid w:val="00F50815"/>
    <w:rsid w:val="00F71074"/>
    <w:rsid w:val="00F8308B"/>
    <w:rsid w:val="00F855DE"/>
    <w:rsid w:val="00F9073E"/>
    <w:rsid w:val="00F90B25"/>
    <w:rsid w:val="00F9615B"/>
    <w:rsid w:val="00FA27A2"/>
    <w:rsid w:val="00FA2D9A"/>
    <w:rsid w:val="00FC14D3"/>
    <w:rsid w:val="00FC4106"/>
    <w:rsid w:val="00FD2282"/>
    <w:rsid w:val="00FD3379"/>
    <w:rsid w:val="00FE38D3"/>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83"/>
  </w:style>
  <w:style w:type="paragraph" w:styleId="Heading1">
    <w:name w:val="heading 1"/>
    <w:basedOn w:val="Normal"/>
    <w:next w:val="Normal"/>
    <w:link w:val="Heading1Char"/>
    <w:uiPriority w:val="9"/>
    <w:qFormat/>
    <w:rsid w:val="005E5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5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15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7C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7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73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73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7373"/>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267373"/>
    <w:pPr>
      <w:spacing w:after="120"/>
    </w:pPr>
  </w:style>
  <w:style w:type="character" w:customStyle="1" w:styleId="BodyTextChar">
    <w:name w:val="Body Text Char"/>
    <w:basedOn w:val="DefaultParagraphFont"/>
    <w:link w:val="BodyText"/>
    <w:uiPriority w:val="99"/>
    <w:semiHidden/>
    <w:rsid w:val="00267373"/>
  </w:style>
  <w:style w:type="table" w:styleId="TableGrid">
    <w:name w:val="Table Grid"/>
    <w:basedOn w:val="TableNormal"/>
    <w:uiPriority w:val="59"/>
    <w:rsid w:val="00267373"/>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7373"/>
    <w:pPr>
      <w:tabs>
        <w:tab w:val="center" w:pos="4680"/>
        <w:tab w:val="right" w:pos="9360"/>
      </w:tabs>
      <w:spacing w:after="0" w:line="240" w:lineRule="auto"/>
      <w:jc w:val="both"/>
    </w:pPr>
    <w:rPr>
      <w:rFonts w:ascii="Arial" w:eastAsia="Calibri" w:hAnsi="Arial" w:cs="Times New Roman"/>
      <w:bCs/>
      <w:sz w:val="24"/>
      <w:szCs w:val="20"/>
    </w:rPr>
  </w:style>
  <w:style w:type="character" w:customStyle="1" w:styleId="FooterChar">
    <w:name w:val="Footer Char"/>
    <w:basedOn w:val="DefaultParagraphFont"/>
    <w:link w:val="Footer"/>
    <w:uiPriority w:val="99"/>
    <w:rsid w:val="00267373"/>
    <w:rPr>
      <w:rFonts w:ascii="Arial" w:eastAsia="Calibri" w:hAnsi="Arial" w:cs="Times New Roman"/>
      <w:bCs/>
      <w:sz w:val="24"/>
      <w:szCs w:val="20"/>
    </w:rPr>
  </w:style>
  <w:style w:type="paragraph" w:styleId="Header">
    <w:name w:val="header"/>
    <w:basedOn w:val="Normal"/>
    <w:link w:val="HeaderChar"/>
    <w:uiPriority w:val="99"/>
    <w:unhideWhenUsed/>
    <w:rsid w:val="002A2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8E"/>
  </w:style>
  <w:style w:type="paragraph" w:styleId="ListParagraph">
    <w:name w:val="List Paragraph"/>
    <w:basedOn w:val="Normal"/>
    <w:uiPriority w:val="34"/>
    <w:qFormat/>
    <w:rsid w:val="00A05A66"/>
    <w:pPr>
      <w:ind w:left="720"/>
      <w:contextualSpacing/>
    </w:pPr>
  </w:style>
  <w:style w:type="paragraph" w:styleId="BalloonText">
    <w:name w:val="Balloon Text"/>
    <w:basedOn w:val="Normal"/>
    <w:link w:val="BalloonTextChar"/>
    <w:uiPriority w:val="99"/>
    <w:semiHidden/>
    <w:unhideWhenUsed/>
    <w:rsid w:val="00751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C2"/>
    <w:rPr>
      <w:rFonts w:ascii="Tahoma" w:hAnsi="Tahoma" w:cs="Tahoma"/>
      <w:sz w:val="16"/>
      <w:szCs w:val="16"/>
    </w:rPr>
  </w:style>
  <w:style w:type="character" w:styleId="CommentReference">
    <w:name w:val="annotation reference"/>
    <w:basedOn w:val="DefaultParagraphFont"/>
    <w:uiPriority w:val="99"/>
    <w:semiHidden/>
    <w:unhideWhenUsed/>
    <w:rsid w:val="00D513CF"/>
    <w:rPr>
      <w:sz w:val="16"/>
      <w:szCs w:val="16"/>
    </w:rPr>
  </w:style>
  <w:style w:type="paragraph" w:styleId="CommentText">
    <w:name w:val="annotation text"/>
    <w:basedOn w:val="Normal"/>
    <w:link w:val="CommentTextChar"/>
    <w:uiPriority w:val="99"/>
    <w:semiHidden/>
    <w:unhideWhenUsed/>
    <w:rsid w:val="00D513CF"/>
    <w:pPr>
      <w:spacing w:line="240" w:lineRule="auto"/>
    </w:pPr>
    <w:rPr>
      <w:sz w:val="20"/>
      <w:szCs w:val="20"/>
    </w:rPr>
  </w:style>
  <w:style w:type="character" w:customStyle="1" w:styleId="CommentTextChar">
    <w:name w:val="Comment Text Char"/>
    <w:basedOn w:val="DefaultParagraphFont"/>
    <w:link w:val="CommentText"/>
    <w:uiPriority w:val="99"/>
    <w:semiHidden/>
    <w:rsid w:val="00D513CF"/>
    <w:rPr>
      <w:sz w:val="20"/>
      <w:szCs w:val="20"/>
    </w:rPr>
  </w:style>
  <w:style w:type="paragraph" w:styleId="CommentSubject">
    <w:name w:val="annotation subject"/>
    <w:basedOn w:val="CommentText"/>
    <w:next w:val="CommentText"/>
    <w:link w:val="CommentSubjectChar"/>
    <w:uiPriority w:val="99"/>
    <w:semiHidden/>
    <w:unhideWhenUsed/>
    <w:rsid w:val="00D513CF"/>
    <w:rPr>
      <w:b/>
      <w:bCs/>
    </w:rPr>
  </w:style>
  <w:style w:type="character" w:customStyle="1" w:styleId="CommentSubjectChar">
    <w:name w:val="Comment Subject Char"/>
    <w:basedOn w:val="CommentTextChar"/>
    <w:link w:val="CommentSubject"/>
    <w:uiPriority w:val="99"/>
    <w:semiHidden/>
    <w:rsid w:val="00D513CF"/>
    <w:rPr>
      <w:b/>
      <w:bCs/>
      <w:sz w:val="20"/>
      <w:szCs w:val="20"/>
    </w:rPr>
  </w:style>
  <w:style w:type="character" w:styleId="Hyperlink">
    <w:name w:val="Hyperlink"/>
    <w:basedOn w:val="DefaultParagraphFont"/>
    <w:uiPriority w:val="99"/>
    <w:unhideWhenUsed/>
    <w:rsid w:val="00912145"/>
    <w:rPr>
      <w:color w:val="0000FF"/>
      <w:u w:val="single"/>
    </w:rPr>
  </w:style>
  <w:style w:type="character" w:styleId="FollowedHyperlink">
    <w:name w:val="FollowedHyperlink"/>
    <w:basedOn w:val="DefaultParagraphFont"/>
    <w:uiPriority w:val="99"/>
    <w:semiHidden/>
    <w:unhideWhenUsed/>
    <w:rsid w:val="006B589A"/>
    <w:rPr>
      <w:color w:val="800080" w:themeColor="followedHyperlink"/>
      <w:u w:val="single"/>
    </w:rPr>
  </w:style>
  <w:style w:type="character" w:customStyle="1" w:styleId="Heading2Char">
    <w:name w:val="Heading 2 Char"/>
    <w:basedOn w:val="DefaultParagraphFont"/>
    <w:link w:val="Heading2"/>
    <w:uiPriority w:val="9"/>
    <w:rsid w:val="005E5F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5FC3"/>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F36ACF"/>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6558"/>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59CB"/>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59CB"/>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16B4"/>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7C9B"/>
    <w:rPr>
      <w:rFonts w:asciiTheme="majorHAnsi" w:eastAsiaTheme="majorEastAsia" w:hAnsiTheme="majorHAnsi" w:cstheme="majorBidi"/>
      <w:b/>
      <w:bCs/>
      <w:i/>
      <w:iCs/>
      <w:color w:val="4F81BD" w:themeColor="accent1"/>
    </w:rPr>
  </w:style>
  <w:style w:type="table" w:customStyle="1" w:styleId="TableGrid11">
    <w:name w:val="Table Grid11"/>
    <w:basedOn w:val="TableNormal"/>
    <w:next w:val="TableGrid"/>
    <w:uiPriority w:val="59"/>
    <w:rsid w:val="001F7C9B"/>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7221"/>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E02FB"/>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32BD"/>
    <w:pPr>
      <w:spacing w:after="0" w:line="240" w:lineRule="auto"/>
    </w:pPr>
  </w:style>
  <w:style w:type="table" w:customStyle="1" w:styleId="TableGrid7">
    <w:name w:val="Table Grid7"/>
    <w:basedOn w:val="TableNormal"/>
    <w:next w:val="TableGrid"/>
    <w:uiPriority w:val="59"/>
    <w:rsid w:val="00DE4D08"/>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724C7"/>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71BEE"/>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71BEE"/>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6AD1"/>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9155E"/>
    <w:pPr>
      <w:outlineLvl w:val="9"/>
    </w:pPr>
    <w:rPr>
      <w:lang w:eastAsia="ja-JP"/>
    </w:rPr>
  </w:style>
  <w:style w:type="paragraph" w:styleId="TOC2">
    <w:name w:val="toc 2"/>
    <w:basedOn w:val="Normal"/>
    <w:next w:val="Normal"/>
    <w:autoRedefine/>
    <w:uiPriority w:val="39"/>
    <w:unhideWhenUsed/>
    <w:qFormat/>
    <w:rsid w:val="0069155E"/>
    <w:pPr>
      <w:spacing w:after="100"/>
      <w:ind w:left="220"/>
    </w:pPr>
  </w:style>
  <w:style w:type="paragraph" w:styleId="TOC1">
    <w:name w:val="toc 1"/>
    <w:basedOn w:val="Normal"/>
    <w:next w:val="Normal"/>
    <w:autoRedefine/>
    <w:uiPriority w:val="39"/>
    <w:unhideWhenUsed/>
    <w:qFormat/>
    <w:rsid w:val="00575030"/>
    <w:pPr>
      <w:tabs>
        <w:tab w:val="right" w:leader="dot" w:pos="9926"/>
      </w:tabs>
      <w:spacing w:after="0" w:line="240" w:lineRule="auto"/>
    </w:pPr>
  </w:style>
  <w:style w:type="character" w:customStyle="1" w:styleId="Heading3Char">
    <w:name w:val="Heading 3 Char"/>
    <w:basedOn w:val="DefaultParagraphFont"/>
    <w:link w:val="Heading3"/>
    <w:uiPriority w:val="9"/>
    <w:rsid w:val="0069155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575030"/>
    <w:pPr>
      <w:tabs>
        <w:tab w:val="right" w:leader="dot" w:pos="9926"/>
      </w:tabs>
      <w:spacing w:after="100" w:line="240" w:lineRule="auto"/>
      <w:ind w:left="440"/>
    </w:pPr>
    <w:rPr>
      <w:rFonts w:ascii="Arial" w:eastAsia="Calibri" w:hAnsi="Arial" w:cs="Arial"/>
      <w:bCs/>
      <w:noProof/>
      <w:sz w:val="24"/>
      <w:szCs w:val="24"/>
    </w:rPr>
  </w:style>
  <w:style w:type="table" w:customStyle="1" w:styleId="TableGrid14">
    <w:name w:val="Table Grid14"/>
    <w:basedOn w:val="TableNormal"/>
    <w:next w:val="TableGrid"/>
    <w:uiPriority w:val="59"/>
    <w:rsid w:val="008E7A5D"/>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2A9D"/>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75030"/>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F6983"/>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F6983"/>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C0549"/>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0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549"/>
    <w:rPr>
      <w:sz w:val="20"/>
      <w:szCs w:val="20"/>
    </w:rPr>
  </w:style>
  <w:style w:type="character" w:styleId="FootnoteReference">
    <w:name w:val="footnote reference"/>
    <w:basedOn w:val="DefaultParagraphFont"/>
    <w:uiPriority w:val="99"/>
    <w:semiHidden/>
    <w:unhideWhenUsed/>
    <w:rsid w:val="007C0549"/>
    <w:rPr>
      <w:vertAlign w:val="superscript"/>
    </w:rPr>
  </w:style>
  <w:style w:type="table" w:customStyle="1" w:styleId="TableGrid19">
    <w:name w:val="Table Grid19"/>
    <w:basedOn w:val="TableNormal"/>
    <w:next w:val="TableGrid"/>
    <w:uiPriority w:val="59"/>
    <w:rsid w:val="00F8308B"/>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D4104"/>
    <w:rPr>
      <w:rFonts w:ascii="Arial" w:hAnsi="Arial"/>
      <w:b/>
      <w:bCs/>
      <w:smallCaps/>
      <w:spacing w:val="5"/>
      <w:sz w:val="28"/>
    </w:rPr>
  </w:style>
  <w:style w:type="table" w:customStyle="1" w:styleId="TableGrid20">
    <w:name w:val="Table Grid20"/>
    <w:basedOn w:val="TableNormal"/>
    <w:next w:val="TableGrid"/>
    <w:uiPriority w:val="59"/>
    <w:rsid w:val="005266B8"/>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B1635"/>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56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83"/>
  </w:style>
  <w:style w:type="paragraph" w:styleId="Heading1">
    <w:name w:val="heading 1"/>
    <w:basedOn w:val="Normal"/>
    <w:next w:val="Normal"/>
    <w:link w:val="Heading1Char"/>
    <w:uiPriority w:val="9"/>
    <w:qFormat/>
    <w:rsid w:val="005E5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5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15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7C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7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73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73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7373"/>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267373"/>
    <w:pPr>
      <w:spacing w:after="120"/>
    </w:pPr>
  </w:style>
  <w:style w:type="character" w:customStyle="1" w:styleId="BodyTextChar">
    <w:name w:val="Body Text Char"/>
    <w:basedOn w:val="DefaultParagraphFont"/>
    <w:link w:val="BodyText"/>
    <w:uiPriority w:val="99"/>
    <w:semiHidden/>
    <w:rsid w:val="00267373"/>
  </w:style>
  <w:style w:type="table" w:styleId="TableGrid">
    <w:name w:val="Table Grid"/>
    <w:basedOn w:val="TableNormal"/>
    <w:uiPriority w:val="59"/>
    <w:rsid w:val="00267373"/>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7373"/>
    <w:pPr>
      <w:tabs>
        <w:tab w:val="center" w:pos="4680"/>
        <w:tab w:val="right" w:pos="9360"/>
      </w:tabs>
      <w:spacing w:after="0" w:line="240" w:lineRule="auto"/>
      <w:jc w:val="both"/>
    </w:pPr>
    <w:rPr>
      <w:rFonts w:ascii="Arial" w:eastAsia="Calibri" w:hAnsi="Arial" w:cs="Times New Roman"/>
      <w:bCs/>
      <w:sz w:val="24"/>
      <w:szCs w:val="20"/>
    </w:rPr>
  </w:style>
  <w:style w:type="character" w:customStyle="1" w:styleId="FooterChar">
    <w:name w:val="Footer Char"/>
    <w:basedOn w:val="DefaultParagraphFont"/>
    <w:link w:val="Footer"/>
    <w:uiPriority w:val="99"/>
    <w:rsid w:val="00267373"/>
    <w:rPr>
      <w:rFonts w:ascii="Arial" w:eastAsia="Calibri" w:hAnsi="Arial" w:cs="Times New Roman"/>
      <w:bCs/>
      <w:sz w:val="24"/>
      <w:szCs w:val="20"/>
    </w:rPr>
  </w:style>
  <w:style w:type="paragraph" w:styleId="Header">
    <w:name w:val="header"/>
    <w:basedOn w:val="Normal"/>
    <w:link w:val="HeaderChar"/>
    <w:uiPriority w:val="99"/>
    <w:unhideWhenUsed/>
    <w:rsid w:val="002A2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8E"/>
  </w:style>
  <w:style w:type="paragraph" w:styleId="ListParagraph">
    <w:name w:val="List Paragraph"/>
    <w:basedOn w:val="Normal"/>
    <w:uiPriority w:val="34"/>
    <w:qFormat/>
    <w:rsid w:val="00A05A66"/>
    <w:pPr>
      <w:ind w:left="720"/>
      <w:contextualSpacing/>
    </w:pPr>
  </w:style>
  <w:style w:type="paragraph" w:styleId="BalloonText">
    <w:name w:val="Balloon Text"/>
    <w:basedOn w:val="Normal"/>
    <w:link w:val="BalloonTextChar"/>
    <w:uiPriority w:val="99"/>
    <w:semiHidden/>
    <w:unhideWhenUsed/>
    <w:rsid w:val="00751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C2"/>
    <w:rPr>
      <w:rFonts w:ascii="Tahoma" w:hAnsi="Tahoma" w:cs="Tahoma"/>
      <w:sz w:val="16"/>
      <w:szCs w:val="16"/>
    </w:rPr>
  </w:style>
  <w:style w:type="character" w:styleId="CommentReference">
    <w:name w:val="annotation reference"/>
    <w:basedOn w:val="DefaultParagraphFont"/>
    <w:uiPriority w:val="99"/>
    <w:semiHidden/>
    <w:unhideWhenUsed/>
    <w:rsid w:val="00D513CF"/>
    <w:rPr>
      <w:sz w:val="16"/>
      <w:szCs w:val="16"/>
    </w:rPr>
  </w:style>
  <w:style w:type="paragraph" w:styleId="CommentText">
    <w:name w:val="annotation text"/>
    <w:basedOn w:val="Normal"/>
    <w:link w:val="CommentTextChar"/>
    <w:uiPriority w:val="99"/>
    <w:semiHidden/>
    <w:unhideWhenUsed/>
    <w:rsid w:val="00D513CF"/>
    <w:pPr>
      <w:spacing w:line="240" w:lineRule="auto"/>
    </w:pPr>
    <w:rPr>
      <w:sz w:val="20"/>
      <w:szCs w:val="20"/>
    </w:rPr>
  </w:style>
  <w:style w:type="character" w:customStyle="1" w:styleId="CommentTextChar">
    <w:name w:val="Comment Text Char"/>
    <w:basedOn w:val="DefaultParagraphFont"/>
    <w:link w:val="CommentText"/>
    <w:uiPriority w:val="99"/>
    <w:semiHidden/>
    <w:rsid w:val="00D513CF"/>
    <w:rPr>
      <w:sz w:val="20"/>
      <w:szCs w:val="20"/>
    </w:rPr>
  </w:style>
  <w:style w:type="paragraph" w:styleId="CommentSubject">
    <w:name w:val="annotation subject"/>
    <w:basedOn w:val="CommentText"/>
    <w:next w:val="CommentText"/>
    <w:link w:val="CommentSubjectChar"/>
    <w:uiPriority w:val="99"/>
    <w:semiHidden/>
    <w:unhideWhenUsed/>
    <w:rsid w:val="00D513CF"/>
    <w:rPr>
      <w:b/>
      <w:bCs/>
    </w:rPr>
  </w:style>
  <w:style w:type="character" w:customStyle="1" w:styleId="CommentSubjectChar">
    <w:name w:val="Comment Subject Char"/>
    <w:basedOn w:val="CommentTextChar"/>
    <w:link w:val="CommentSubject"/>
    <w:uiPriority w:val="99"/>
    <w:semiHidden/>
    <w:rsid w:val="00D513CF"/>
    <w:rPr>
      <w:b/>
      <w:bCs/>
      <w:sz w:val="20"/>
      <w:szCs w:val="20"/>
    </w:rPr>
  </w:style>
  <w:style w:type="character" w:styleId="Hyperlink">
    <w:name w:val="Hyperlink"/>
    <w:basedOn w:val="DefaultParagraphFont"/>
    <w:uiPriority w:val="99"/>
    <w:unhideWhenUsed/>
    <w:rsid w:val="00912145"/>
    <w:rPr>
      <w:color w:val="0000FF"/>
      <w:u w:val="single"/>
    </w:rPr>
  </w:style>
  <w:style w:type="character" w:styleId="FollowedHyperlink">
    <w:name w:val="FollowedHyperlink"/>
    <w:basedOn w:val="DefaultParagraphFont"/>
    <w:uiPriority w:val="99"/>
    <w:semiHidden/>
    <w:unhideWhenUsed/>
    <w:rsid w:val="006B589A"/>
    <w:rPr>
      <w:color w:val="800080" w:themeColor="followedHyperlink"/>
      <w:u w:val="single"/>
    </w:rPr>
  </w:style>
  <w:style w:type="character" w:customStyle="1" w:styleId="Heading2Char">
    <w:name w:val="Heading 2 Char"/>
    <w:basedOn w:val="DefaultParagraphFont"/>
    <w:link w:val="Heading2"/>
    <w:uiPriority w:val="9"/>
    <w:rsid w:val="005E5F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5FC3"/>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F36ACF"/>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6558"/>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59CB"/>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59CB"/>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16B4"/>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7C9B"/>
    <w:rPr>
      <w:rFonts w:asciiTheme="majorHAnsi" w:eastAsiaTheme="majorEastAsia" w:hAnsiTheme="majorHAnsi" w:cstheme="majorBidi"/>
      <w:b/>
      <w:bCs/>
      <w:i/>
      <w:iCs/>
      <w:color w:val="4F81BD" w:themeColor="accent1"/>
    </w:rPr>
  </w:style>
  <w:style w:type="table" w:customStyle="1" w:styleId="TableGrid11">
    <w:name w:val="Table Grid11"/>
    <w:basedOn w:val="TableNormal"/>
    <w:next w:val="TableGrid"/>
    <w:uiPriority w:val="59"/>
    <w:rsid w:val="001F7C9B"/>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7221"/>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E02FB"/>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32BD"/>
    <w:pPr>
      <w:spacing w:after="0" w:line="240" w:lineRule="auto"/>
    </w:pPr>
  </w:style>
  <w:style w:type="table" w:customStyle="1" w:styleId="TableGrid7">
    <w:name w:val="Table Grid7"/>
    <w:basedOn w:val="TableNormal"/>
    <w:next w:val="TableGrid"/>
    <w:uiPriority w:val="59"/>
    <w:rsid w:val="00DE4D08"/>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724C7"/>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71BEE"/>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71BEE"/>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6AD1"/>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9155E"/>
    <w:pPr>
      <w:outlineLvl w:val="9"/>
    </w:pPr>
    <w:rPr>
      <w:lang w:eastAsia="ja-JP"/>
    </w:rPr>
  </w:style>
  <w:style w:type="paragraph" w:styleId="TOC2">
    <w:name w:val="toc 2"/>
    <w:basedOn w:val="Normal"/>
    <w:next w:val="Normal"/>
    <w:autoRedefine/>
    <w:uiPriority w:val="39"/>
    <w:unhideWhenUsed/>
    <w:qFormat/>
    <w:rsid w:val="0069155E"/>
    <w:pPr>
      <w:spacing w:after="100"/>
      <w:ind w:left="220"/>
    </w:pPr>
  </w:style>
  <w:style w:type="paragraph" w:styleId="TOC1">
    <w:name w:val="toc 1"/>
    <w:basedOn w:val="Normal"/>
    <w:next w:val="Normal"/>
    <w:autoRedefine/>
    <w:uiPriority w:val="39"/>
    <w:unhideWhenUsed/>
    <w:qFormat/>
    <w:rsid w:val="00575030"/>
    <w:pPr>
      <w:tabs>
        <w:tab w:val="right" w:leader="dot" w:pos="9926"/>
      </w:tabs>
      <w:spacing w:after="0" w:line="240" w:lineRule="auto"/>
    </w:pPr>
  </w:style>
  <w:style w:type="character" w:customStyle="1" w:styleId="Heading3Char">
    <w:name w:val="Heading 3 Char"/>
    <w:basedOn w:val="DefaultParagraphFont"/>
    <w:link w:val="Heading3"/>
    <w:uiPriority w:val="9"/>
    <w:rsid w:val="0069155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575030"/>
    <w:pPr>
      <w:tabs>
        <w:tab w:val="right" w:leader="dot" w:pos="9926"/>
      </w:tabs>
      <w:spacing w:after="100" w:line="240" w:lineRule="auto"/>
      <w:ind w:left="440"/>
    </w:pPr>
    <w:rPr>
      <w:rFonts w:ascii="Arial" w:eastAsia="Calibri" w:hAnsi="Arial" w:cs="Arial"/>
      <w:bCs/>
      <w:noProof/>
      <w:sz w:val="24"/>
      <w:szCs w:val="24"/>
    </w:rPr>
  </w:style>
  <w:style w:type="table" w:customStyle="1" w:styleId="TableGrid14">
    <w:name w:val="Table Grid14"/>
    <w:basedOn w:val="TableNormal"/>
    <w:next w:val="TableGrid"/>
    <w:uiPriority w:val="59"/>
    <w:rsid w:val="008E7A5D"/>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2A9D"/>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75030"/>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F6983"/>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F6983"/>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C0549"/>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0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549"/>
    <w:rPr>
      <w:sz w:val="20"/>
      <w:szCs w:val="20"/>
    </w:rPr>
  </w:style>
  <w:style w:type="character" w:styleId="FootnoteReference">
    <w:name w:val="footnote reference"/>
    <w:basedOn w:val="DefaultParagraphFont"/>
    <w:uiPriority w:val="99"/>
    <w:semiHidden/>
    <w:unhideWhenUsed/>
    <w:rsid w:val="007C0549"/>
    <w:rPr>
      <w:vertAlign w:val="superscript"/>
    </w:rPr>
  </w:style>
  <w:style w:type="table" w:customStyle="1" w:styleId="TableGrid19">
    <w:name w:val="Table Grid19"/>
    <w:basedOn w:val="TableNormal"/>
    <w:next w:val="TableGrid"/>
    <w:uiPriority w:val="59"/>
    <w:rsid w:val="00F8308B"/>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D4104"/>
    <w:rPr>
      <w:rFonts w:ascii="Arial" w:hAnsi="Arial"/>
      <w:b/>
      <w:bCs/>
      <w:smallCaps/>
      <w:spacing w:val="5"/>
      <w:sz w:val="28"/>
    </w:rPr>
  </w:style>
  <w:style w:type="table" w:customStyle="1" w:styleId="TableGrid20">
    <w:name w:val="Table Grid20"/>
    <w:basedOn w:val="TableNormal"/>
    <w:next w:val="TableGrid"/>
    <w:uiPriority w:val="59"/>
    <w:rsid w:val="005266B8"/>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B1635"/>
    <w:pPr>
      <w:spacing w:after="0" w:line="240" w:lineRule="auto"/>
      <w:jc w:val="both"/>
    </w:pPr>
    <w:rPr>
      <w:rFonts w:ascii="Arial" w:eastAsia="Calibri" w:hAnsi="Arial" w:cs="Times New Roman"/>
      <w:bC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5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594">
      <w:bodyDiv w:val="1"/>
      <w:marLeft w:val="0"/>
      <w:marRight w:val="0"/>
      <w:marTop w:val="0"/>
      <w:marBottom w:val="0"/>
      <w:divBdr>
        <w:top w:val="none" w:sz="0" w:space="0" w:color="auto"/>
        <w:left w:val="none" w:sz="0" w:space="0" w:color="auto"/>
        <w:bottom w:val="none" w:sz="0" w:space="0" w:color="auto"/>
        <w:right w:val="none" w:sz="0" w:space="0" w:color="auto"/>
      </w:divBdr>
    </w:div>
    <w:div w:id="18838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smith08\Desktop\10.%20Formatted%20Standards%20of%20Care%20-%20Combined.docx" TargetMode="External"/><Relationship Id="rId18" Type="http://schemas.openxmlformats.org/officeDocument/2006/relationships/footer" Target="footer6.xml"/><Relationship Id="rId26" Type="http://schemas.openxmlformats.org/officeDocument/2006/relationships/hyperlink" Target="https://hab.hrsa.gov/sites/default/files/hab/clinical-quality-management/2014guide.pdf" TargetMode="External"/><Relationship Id="rId39" Type="http://schemas.openxmlformats.org/officeDocument/2006/relationships/footer" Target="footer11.xml"/><Relationship Id="rId21" Type="http://schemas.openxmlformats.org/officeDocument/2006/relationships/hyperlink" Target="https://hab.hrsa.gov/sites/default/files/hab/clinical-quality-management/2014guide.pdf" TargetMode="External"/><Relationship Id="rId34" Type="http://schemas.openxmlformats.org/officeDocument/2006/relationships/hyperlink" Target="https://hab.hrsa.gov/sites/default/files/hab/clinical-quality-management/2014guide.pdf" TargetMode="External"/><Relationship Id="rId42" Type="http://schemas.openxmlformats.org/officeDocument/2006/relationships/footer" Target="footer14.xml"/><Relationship Id="rId47" Type="http://schemas.openxmlformats.org/officeDocument/2006/relationships/footer" Target="footer19.xml"/><Relationship Id="rId50" Type="http://schemas.openxmlformats.org/officeDocument/2006/relationships/hyperlink" Target="https://fl.train.org" TargetMode="External"/><Relationship Id="rId55" Type="http://schemas.openxmlformats.org/officeDocument/2006/relationships/footer" Target="footer25.xml"/><Relationship Id="rId63" Type="http://schemas.openxmlformats.org/officeDocument/2006/relationships/footer" Target="footer33.xml"/><Relationship Id="rId68" Type="http://schemas.openxmlformats.org/officeDocument/2006/relationships/footer" Target="footer3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hab.hrsa.gov/sites/default/files/hab/clinical-quality-management/2014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hab.hrsa.gov/sites/default/files/hab/clinical-quality-management/2014guide.pdf" TargetMode="External"/><Relationship Id="rId32" Type="http://schemas.openxmlformats.org/officeDocument/2006/relationships/hyperlink" Target="https://hab.hrsa.gov/sites/default/files/hab/clinical-quality-management/2014guide.pdf" TargetMode="External"/><Relationship Id="rId37" Type="http://schemas.openxmlformats.org/officeDocument/2006/relationships/footer" Target="footer9.xml"/><Relationship Id="rId40" Type="http://schemas.openxmlformats.org/officeDocument/2006/relationships/footer" Target="footer12.xml"/><Relationship Id="rId45" Type="http://schemas.openxmlformats.org/officeDocument/2006/relationships/footer" Target="footer17.xml"/><Relationship Id="rId53" Type="http://schemas.openxmlformats.org/officeDocument/2006/relationships/header" Target="header1.xml"/><Relationship Id="rId58" Type="http://schemas.openxmlformats.org/officeDocument/2006/relationships/footer" Target="footer28.xml"/><Relationship Id="rId66" Type="http://schemas.openxmlformats.org/officeDocument/2006/relationships/hyperlink" Target="http://www.careacttarget.org/library/peers/Description-PET-REC-7.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hab.hrsa.gov/sites/default/files/hab/clinical-quality-management/2014guide.pdf" TargetMode="External"/><Relationship Id="rId28" Type="http://schemas.openxmlformats.org/officeDocument/2006/relationships/hyperlink" Target="https://hab.hrsa.gov/sites/default/files/hab/clinical-quality-management/2014guide.pdf" TargetMode="External"/><Relationship Id="rId36" Type="http://schemas.openxmlformats.org/officeDocument/2006/relationships/footer" Target="footer8.xml"/><Relationship Id="rId49" Type="http://schemas.openxmlformats.org/officeDocument/2006/relationships/footer" Target="footer21.xml"/><Relationship Id="rId57" Type="http://schemas.openxmlformats.org/officeDocument/2006/relationships/footer" Target="footer27.xml"/><Relationship Id="rId61" Type="http://schemas.openxmlformats.org/officeDocument/2006/relationships/footer" Target="footer31.xml"/><Relationship Id="rId10" Type="http://schemas.openxmlformats.org/officeDocument/2006/relationships/image" Target="media/image2.png"/><Relationship Id="rId19" Type="http://schemas.openxmlformats.org/officeDocument/2006/relationships/footer" Target="footer7.xml"/><Relationship Id="rId31" Type="http://schemas.openxmlformats.org/officeDocument/2006/relationships/hyperlink" Target="https://hab.hrsa.gov/sites/default/files/hab/clinical-quality-management/2014guide.pdf" TargetMode="External"/><Relationship Id="rId44" Type="http://schemas.openxmlformats.org/officeDocument/2006/relationships/footer" Target="footer16.xml"/><Relationship Id="rId52" Type="http://schemas.openxmlformats.org/officeDocument/2006/relationships/footer" Target="footer23.xml"/><Relationship Id="rId60" Type="http://schemas.openxmlformats.org/officeDocument/2006/relationships/footer" Target="footer30.xml"/><Relationship Id="rId65" Type="http://schemas.openxmlformats.org/officeDocument/2006/relationships/footer" Target="footer3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ssmith08\Desktop\10.%20Formatted%20Standards%20of%20Care%20-%20Combined.docx" TargetMode="External"/><Relationship Id="rId22" Type="http://schemas.openxmlformats.org/officeDocument/2006/relationships/hyperlink" Target="https://hab.hrsa.gov/sites/default/files/hab/clinical-quality-management/2014guide.pdf" TargetMode="External"/><Relationship Id="rId27" Type="http://schemas.openxmlformats.org/officeDocument/2006/relationships/hyperlink" Target="https://hab.hrsa.gov/sites/default/files/hab/clinical-quality-management/2014guide.pdf" TargetMode="External"/><Relationship Id="rId30" Type="http://schemas.openxmlformats.org/officeDocument/2006/relationships/hyperlink" Target="https://hab.hrsa.gov/sites/default/files/hab/clinical-quality-management/2014guide.pdf" TargetMode="External"/><Relationship Id="rId35" Type="http://schemas.openxmlformats.org/officeDocument/2006/relationships/hyperlink" Target="https://hab.hrsa.gov/sites/default/files/hab/clinical-quality-management/2014guide.pdf" TargetMode="External"/><Relationship Id="rId43" Type="http://schemas.openxmlformats.org/officeDocument/2006/relationships/footer" Target="footer15.xml"/><Relationship Id="rId48" Type="http://schemas.openxmlformats.org/officeDocument/2006/relationships/footer" Target="footer20.xml"/><Relationship Id="rId56" Type="http://schemas.openxmlformats.org/officeDocument/2006/relationships/footer" Target="footer26.xml"/><Relationship Id="rId64" Type="http://schemas.openxmlformats.org/officeDocument/2006/relationships/footer" Target="footer34.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hab.hrsa.gov/sites/default/files/hab/clinical-quality-management/2014guide.pdf" TargetMode="External"/><Relationship Id="rId33" Type="http://schemas.openxmlformats.org/officeDocument/2006/relationships/hyperlink" Target="https://hab.hrsa.gov/sites/default/files/hab/clinical-quality-management/2014guide.pdf" TargetMode="External"/><Relationship Id="rId38" Type="http://schemas.openxmlformats.org/officeDocument/2006/relationships/footer" Target="footer10.xml"/><Relationship Id="rId46" Type="http://schemas.openxmlformats.org/officeDocument/2006/relationships/footer" Target="footer18.xml"/><Relationship Id="rId59" Type="http://schemas.openxmlformats.org/officeDocument/2006/relationships/footer" Target="footer29.xml"/><Relationship Id="rId67" Type="http://schemas.openxmlformats.org/officeDocument/2006/relationships/footer" Target="footer36.xml"/><Relationship Id="rId20" Type="http://schemas.openxmlformats.org/officeDocument/2006/relationships/hyperlink" Target="https://hab.hrsa.gov/sites/default/files/hab/clinical-quality-management/2014guide.pdf" TargetMode="External"/><Relationship Id="rId41" Type="http://schemas.openxmlformats.org/officeDocument/2006/relationships/footer" Target="footer13.xml"/><Relationship Id="rId54" Type="http://schemas.openxmlformats.org/officeDocument/2006/relationships/footer" Target="footer24.xml"/><Relationship Id="rId62" Type="http://schemas.openxmlformats.org/officeDocument/2006/relationships/footer" Target="footer32.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6532-5F26-4DFD-A7F7-5C5E3288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116</Pages>
  <Words>28077</Words>
  <Characters>160043</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Orange County BCC</Company>
  <LinksUpToDate>false</LinksUpToDate>
  <CharactersWithSpaces>187745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Lipsey</dc:creator>
  <cp:lastModifiedBy>Smith, Soraya</cp:lastModifiedBy>
  <cp:revision>6</cp:revision>
  <cp:lastPrinted>2017-07-11T12:11:00Z</cp:lastPrinted>
  <dcterms:created xsi:type="dcterms:W3CDTF">2017-08-08T14:17:00Z</dcterms:created>
  <dcterms:modified xsi:type="dcterms:W3CDTF">2017-08-31T15:21:00Z</dcterms:modified>
</cp:coreProperties>
</file>